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39F1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4F5FAA97" w14:textId="77777777" w:rsidR="00A77B3E" w:rsidRDefault="00A77B3E">
      <w:pPr>
        <w:ind w:left="6236"/>
        <w:jc w:val="left"/>
        <w:rPr>
          <w:b/>
          <w:i/>
          <w:u w:val="thick"/>
        </w:rPr>
      </w:pPr>
    </w:p>
    <w:p w14:paraId="24204D1B" w14:textId="3A1D8E98" w:rsidR="00A77B3E" w:rsidRDefault="0073268E">
      <w:pPr>
        <w:ind w:left="6236"/>
        <w:jc w:val="left"/>
      </w:pPr>
      <w:r>
        <w:t>Druk Nr</w:t>
      </w:r>
      <w:r w:rsidR="00812EF2">
        <w:t xml:space="preserve"> 72/2025</w:t>
      </w:r>
    </w:p>
    <w:p w14:paraId="063ACE04" w14:textId="2088F7E9" w:rsidR="00A77B3E" w:rsidRDefault="0073268E">
      <w:pPr>
        <w:ind w:left="6236"/>
        <w:jc w:val="left"/>
      </w:pPr>
      <w:r>
        <w:t>Projekt z dnia</w:t>
      </w:r>
      <w:r w:rsidR="00812EF2">
        <w:t xml:space="preserve"> 04.04.2025 r.</w:t>
      </w:r>
    </w:p>
    <w:p w14:paraId="18FE34B1" w14:textId="77777777" w:rsidR="00A77B3E" w:rsidRDefault="00A77B3E">
      <w:pPr>
        <w:ind w:left="6236"/>
        <w:jc w:val="left"/>
      </w:pPr>
    </w:p>
    <w:p w14:paraId="6B38177B" w14:textId="77777777" w:rsidR="00A77B3E" w:rsidRDefault="0073268E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61E9B7D4" w14:textId="77777777" w:rsidR="00A77B3E" w:rsidRDefault="0073268E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5E3E1A74" w14:textId="77777777" w:rsidR="00A77B3E" w:rsidRDefault="0073268E">
      <w:pPr>
        <w:keepNext/>
        <w:spacing w:after="480"/>
      </w:pPr>
      <w:r>
        <w:rPr>
          <w:b/>
        </w:rPr>
        <w:t>w sprawie odmowy ustalenia lokalizacji inwestycji mieszkaniowej przy ul. Rewolucji 1905 r. nr 61 w Łodzi.</w:t>
      </w:r>
    </w:p>
    <w:p w14:paraId="0F89B733" w14:textId="77777777" w:rsidR="00A77B3E" w:rsidRDefault="0073268E">
      <w:pPr>
        <w:keepLines/>
        <w:spacing w:before="120" w:after="120"/>
        <w:ind w:firstLine="567"/>
        <w:jc w:val="both"/>
      </w:pPr>
      <w:r>
        <w:t>Na podstawie art. 18 ust. 2 </w:t>
      </w:r>
      <w:r>
        <w:t>pkt 15 ustawy z dnia 8 marca 1990 r. o samorządzie gminnym (Dz. U. z 2024 r. poz. 1465, 1572, 1907 i 1940) oraz art. 7 ust. 4 ustawy z dnia 5 lipca 2018 r. o ułatwieniach w przygotowaniu i realizacji inwestycji mieszkaniowych oraz inwestycji towarzyszących</w:t>
      </w:r>
      <w:r>
        <w:t xml:space="preserve"> (Dz. U. z 2024 r. poz. 195), Rada Miejska w Łodzi</w:t>
      </w:r>
    </w:p>
    <w:p w14:paraId="3145D7F3" w14:textId="77777777" w:rsidR="00A77B3E" w:rsidRDefault="0073268E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5F7A567F" w14:textId="77777777" w:rsidR="00A77B3E" w:rsidRDefault="0073268E">
      <w:pPr>
        <w:keepLines/>
        <w:spacing w:before="240" w:after="120"/>
        <w:ind w:firstLine="567"/>
        <w:jc w:val="both"/>
      </w:pPr>
      <w:r>
        <w:t>§ 1. </w:t>
      </w:r>
      <w:r>
        <w:t>Odmawia się wnioskodawcy Trust Investment Projekt 26 sp. z o.o. z siedzibą w Kielcach ustalenia lokalizacji inwestycji mieszkaniowej polegającej na budowie dwóch budynków mieszk</w:t>
      </w:r>
      <w:r>
        <w:t>alnych wielorodzinnych z garażami podziemnymi i częścią garażową w parterze oraz niezbędną infrastrukturą techniczną, na działkach nr 152/2 i 159/2 w obrębie S-2 przy ul. Rewolucji 1905 r. nr 61 w Łodzi.</w:t>
      </w:r>
    </w:p>
    <w:p w14:paraId="73554271" w14:textId="77777777" w:rsidR="00A77B3E" w:rsidRDefault="0073268E">
      <w:pPr>
        <w:keepLines/>
        <w:spacing w:before="240" w:after="120"/>
        <w:ind w:firstLine="567"/>
        <w:jc w:val="both"/>
      </w:pPr>
      <w:r>
        <w:t>§ 2. </w:t>
      </w:r>
      <w:r>
        <w:t>Zgodnie z art. 15 ustawy z dnia 5 lipca 2018 r.</w:t>
      </w:r>
      <w:r>
        <w:t xml:space="preserve"> o ułatwieniach w przygotowaniu              i realizacji inwestycji mieszkaniowych oraz inwestycji towarzyszących, skarga na uchwałę          w trybie art. 101 ustawy z dnia 8 marca 1990 r. o samorządzie gminnym, może być wniesiona w terminie 30 dni od dn</w:t>
      </w:r>
      <w:r>
        <w:t>ia doręczenia tej uchwały inwestorowi.</w:t>
      </w:r>
    </w:p>
    <w:p w14:paraId="28E2D001" w14:textId="77777777" w:rsidR="00A77B3E" w:rsidRDefault="0073268E">
      <w:pPr>
        <w:keepLines/>
        <w:spacing w:before="240" w:after="120"/>
        <w:ind w:firstLine="567"/>
        <w:jc w:val="both"/>
      </w:pPr>
      <w:r>
        <w:t>§ 3. </w:t>
      </w:r>
      <w:r>
        <w:t>Wykonanie uchwały powierza się Prezydentowi Miasta Łodzi.</w:t>
      </w:r>
    </w:p>
    <w:p w14:paraId="20528005" w14:textId="77777777" w:rsidR="00A77B3E" w:rsidRDefault="0073268E">
      <w:pPr>
        <w:keepNext/>
        <w:keepLines/>
        <w:spacing w:before="240" w:after="120"/>
        <w:ind w:firstLine="567"/>
        <w:jc w:val="both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65096" w14:paraId="7AEB00D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60880" w14:textId="77777777" w:rsidR="00C65096" w:rsidRDefault="00C65096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0D152" w14:textId="77777777" w:rsidR="00C65096" w:rsidRDefault="0073268E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248B3D73" w14:textId="77777777" w:rsidR="00A77B3E" w:rsidRDefault="0073268E">
      <w:pPr>
        <w:ind w:left="283" w:firstLine="227"/>
        <w:jc w:val="both"/>
      </w:pPr>
      <w:r>
        <w:t>Projektodawcą jest</w:t>
      </w:r>
    </w:p>
    <w:p w14:paraId="0CC1316F" w14:textId="77777777" w:rsidR="00A77B3E" w:rsidRDefault="0073268E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14:paraId="6A921BD4" w14:textId="77777777" w:rsidR="00C65096" w:rsidRDefault="0073268E">
      <w:pPr>
        <w:spacing w:before="120" w:after="120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Uzasadnienie</w:t>
      </w:r>
    </w:p>
    <w:p w14:paraId="0242902D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14:paraId="4EA1C100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Inwestor Trust Investment Projekt 26 sp. z o.o. pismem z dnia 10 grudnia 2024 r.  (data wpływu 22 stycznia 2025 r.) wystąpił do Rady Miejskiej w Łodzi, </w:t>
      </w:r>
      <w:r>
        <w:rPr>
          <w:color w:val="000000"/>
          <w:szCs w:val="20"/>
        </w:rPr>
        <w:t xml:space="preserve">za pośrednictwem Prezydenta Miasta Łodzi - Biura Architekta Miasta w Departamencie Planowania i Rozwoju Gospodarczego Urzędu Miasta Łodzi, o ustalenie na podstawie art. 7 ust. 1 i 6 ustawy z dnia 5 lipca 2018 r. o ułatwieniach w przygotowaniu i realizacji </w:t>
      </w:r>
      <w:r>
        <w:rPr>
          <w:color w:val="000000"/>
          <w:szCs w:val="20"/>
        </w:rPr>
        <w:t>inwestycji mieszkaniowych i inwestycji towarzyszących (Dz. U. z 2024 r. poz. 195), zwanej dalej specustawą, lokalizacji inwestycji mieszkaniowej polegającej</w:t>
      </w:r>
      <w:r>
        <w:rPr>
          <w:color w:val="FFC000"/>
          <w:sz w:val="22"/>
          <w:szCs w:val="20"/>
          <w:shd w:val="clear" w:color="auto" w:fill="FFFFFF"/>
        </w:rPr>
        <w:t xml:space="preserve"> </w:t>
      </w:r>
      <w:r>
        <w:rPr>
          <w:szCs w:val="20"/>
        </w:rPr>
        <w:t xml:space="preserve">na budowie dwóch budynków mieszkalnych wielorodzinnych z garażami podziemnymi i częścią garażową w </w:t>
      </w:r>
      <w:r>
        <w:rPr>
          <w:szCs w:val="20"/>
        </w:rPr>
        <w:t xml:space="preserve">parterze oraz niezbędną infrastrukturą techniczną, na działkach nr 152/2 i 159/2 w obrębie S-2 przy ul. Rewolucji 1905 r. nr 61 w Łodzi. </w:t>
      </w:r>
      <w:r>
        <w:rPr>
          <w:color w:val="000000"/>
          <w:szCs w:val="20"/>
        </w:rPr>
        <w:t xml:space="preserve"> Wniosek został poprawnie uzupełniony dnia 14.02.2025 r. </w:t>
      </w:r>
    </w:p>
    <w:p w14:paraId="2E75EEC0" w14:textId="77777777" w:rsidR="00C65096" w:rsidRDefault="00C65096">
      <w:pPr>
        <w:tabs>
          <w:tab w:val="left" w:pos="708"/>
        </w:tabs>
        <w:jc w:val="both"/>
        <w:rPr>
          <w:color w:val="000000"/>
          <w:szCs w:val="20"/>
        </w:rPr>
      </w:pPr>
    </w:p>
    <w:p w14:paraId="7D550CBE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Po weryfikacji wniosku stwierdzono, że spełnia wymogi dotyc</w:t>
      </w:r>
      <w:r>
        <w:rPr>
          <w:color w:val="000000"/>
          <w:szCs w:val="20"/>
        </w:rPr>
        <w:t>zące kompletności wniosku określone w art. 7 ust. 7 specustawy. We wniosku określono granice terenu objętego wnioskiem, przedstawiając je na kopii mapy zasadniczej. Określono planowaną minimalną i maksymalną powierzchnię użytkową mieszkań wynoszącą od 1250</w:t>
      </w:r>
      <w:r>
        <w:rPr>
          <w:color w:val="000000"/>
          <w:szCs w:val="20"/>
        </w:rPr>
        <w:t>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do 13500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oraz planowaną minimalną i maksymalną liczbę mieszkań wynoszącą od 280 do 330.  Inwestycja nie przewiduje działalności handlowej i usługowej. Wniosek obejmuje analizę powiązania inwestycji mieszkaniowej z uzbrojeniem terenu oraz ich charak</w:t>
      </w:r>
      <w:r>
        <w:rPr>
          <w:color w:val="000000"/>
          <w:szCs w:val="20"/>
        </w:rPr>
        <w:t>terystykę. Wnioskodawca wskazał nieruchomości według katastru nieruchomości oraz ksiąg wieczystych, na których mają być zlokalizowane obiekty objęte inwestycją mieszkaniową.  Wskazano również, w jakim zakresie planowana inwestycja jest niesprzeczna ze Stud</w:t>
      </w:r>
      <w:r>
        <w:rPr>
          <w:color w:val="000000"/>
          <w:szCs w:val="20"/>
        </w:rPr>
        <w:t>ium. Wykazano, że inwestycja mieszkaniowa odpowiada standardom, o których mowa w rozdziale 3 specustawy oraz lokalnym standardom urbanistycznym, przyjętym uchwałą Nr LXXVI/2076/18 Rady Miejskiej w Łodzi z dnia 10 października 2018 r. w sprawie lokalnych st</w:t>
      </w:r>
      <w:r>
        <w:rPr>
          <w:color w:val="000000"/>
          <w:szCs w:val="20"/>
        </w:rPr>
        <w:t>andardów urbanistycznych dla Miasta Łodzi (Dz. Urz. Woj. Łódzkiego poz. 5644), zmienioną uchwałami Rady Miejskiej w Łodzi: Nr III/59/18 z dnia 27 grudnia 2018 r. (Dz. Urz. Woj. Łódzkiego z 2019 r. poz. 348), Nr XXXIII/1093/20 z dnia 2 grudnia 2020 r. (Dz. </w:t>
      </w:r>
      <w:r>
        <w:rPr>
          <w:color w:val="000000"/>
          <w:szCs w:val="20"/>
        </w:rPr>
        <w:t>Urz. Woj. Łódzkiego poz. 7200), Nr LX/1810/22 z dnia 1 czerwca 2022 r. (Dz. Urz. Woj. Łódzkiego poz. 3675),  Nr LXXIII/2191/23 z dnia 15 marca 2023 r. (Dz. Urz. Woj. Łódzkiego poz. 4066) i Nr LXXXVI/2608/24 z dnia 17 stycznia 2024 r. (Dz. Urz. Woj. Łódzkie</w:t>
      </w:r>
      <w:r>
        <w:rPr>
          <w:color w:val="000000"/>
          <w:szCs w:val="20"/>
        </w:rPr>
        <w:t xml:space="preserve">go poz. 1102) </w:t>
      </w:r>
      <w:r>
        <w:rPr>
          <w:color w:val="FFC000"/>
          <w:szCs w:val="20"/>
        </w:rPr>
        <w:t>z</w:t>
      </w:r>
      <w:r>
        <w:rPr>
          <w:szCs w:val="20"/>
        </w:rPr>
        <w:t>wanych dalej lokalnymi standardami urbanistycznymi. .</w:t>
      </w:r>
      <w:r>
        <w:rPr>
          <w:color w:val="000000"/>
          <w:szCs w:val="20"/>
        </w:rPr>
        <w:t>Do wniosku załączono koncepcję urbanistyczno-architektoniczną, sporządzoną przez osobę wpisaną na listę izby samorządu zawodowego architektów posiadającą uprawnienia budowlane do projektow</w:t>
      </w:r>
      <w:r>
        <w:rPr>
          <w:color w:val="000000"/>
          <w:szCs w:val="20"/>
        </w:rPr>
        <w:t>ania bez ograniczeń w specjalności architektonicznej oraz inne wymagane oświadczenia i zaświadczenia. Wnioskodawca określił również nieruchomości według katastru i księgi wieczystej, w stosunku do których decyzja o pozwoleniu na budowę inwestycji ma wywoła</w:t>
      </w:r>
      <w:r>
        <w:rPr>
          <w:color w:val="000000"/>
          <w:szCs w:val="20"/>
        </w:rPr>
        <w:t xml:space="preserve">ć skutek, o którym mowa w art. 35 ust. 1 specustawy. </w:t>
      </w:r>
    </w:p>
    <w:p w14:paraId="42D6E2CA" w14:textId="77777777" w:rsidR="00C65096" w:rsidRDefault="00C65096">
      <w:pPr>
        <w:tabs>
          <w:tab w:val="left" w:pos="708"/>
        </w:tabs>
        <w:jc w:val="both"/>
        <w:rPr>
          <w:color w:val="000000"/>
          <w:szCs w:val="20"/>
        </w:rPr>
      </w:pPr>
    </w:p>
    <w:p w14:paraId="48C72C55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>W dniu 17 lutego 2025 r. wniosek został udostępniony na stronie podmiotowej Biuletynu Informacji Publicznej wraz z informacją o formie, miejscu i terminie składania uwag. Ponadto, w dniu 21 lutego 2025 r. w lokalnej prasie „Łódź.pl” pojawiła się informacja</w:t>
      </w:r>
      <w:r>
        <w:rPr>
          <w:color w:val="000000"/>
          <w:szCs w:val="20"/>
        </w:rPr>
        <w:t xml:space="preserve"> o wpływie przedmiotowego wniosku wraz z informacją o formie, miejscu i terminie składania uwag. Po publikacji w Biuletynie do Biura Architekta Miasta wpłynęła jedna uwaga do planowanej inwestycji od sąsiadującej z inwestycją Wspólnoty Mieszkaniowej, która</w:t>
      </w:r>
      <w:r>
        <w:rPr>
          <w:color w:val="000000"/>
          <w:szCs w:val="20"/>
        </w:rPr>
        <w:t xml:space="preserve"> została przekazana inwestorowi. Inwestor nie ustosunkował się do uwagi. </w:t>
      </w:r>
      <w:r>
        <w:rPr>
          <w:color w:val="000000"/>
          <w:szCs w:val="20"/>
        </w:rPr>
        <w:tab/>
      </w:r>
    </w:p>
    <w:p w14:paraId="1BFCA7A0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ab/>
        <w:t xml:space="preserve">Pismami z dnia 18 lutego 2025 roku powiadomiono organy opiniujące i uzgadniające, o których mowa w art. 7 ust. 12 i 14 specustawy, o możliwości przedstawienia stanowiska w sprawie </w:t>
      </w:r>
      <w:r>
        <w:rPr>
          <w:color w:val="000000"/>
          <w:szCs w:val="20"/>
        </w:rPr>
        <w:t>w ciągu 21 dni od daty doręczenia wystąpienia.</w:t>
      </w:r>
    </w:p>
    <w:p w14:paraId="46B76A6F" w14:textId="77777777" w:rsidR="00C65096" w:rsidRDefault="00C65096">
      <w:pPr>
        <w:tabs>
          <w:tab w:val="left" w:pos="708"/>
        </w:tabs>
        <w:jc w:val="both"/>
        <w:rPr>
          <w:color w:val="000000"/>
          <w:szCs w:val="20"/>
        </w:rPr>
      </w:pPr>
    </w:p>
    <w:p w14:paraId="057AFED7" w14:textId="77777777" w:rsidR="00C65096" w:rsidRDefault="0073268E">
      <w:pPr>
        <w:tabs>
          <w:tab w:val="left" w:pos="708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Następujące organy opiniujące udzieliły odpowiedzi:</w:t>
      </w:r>
    </w:p>
    <w:p w14:paraId="5A8F41C4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Prezydent Miasta Łodzi, w którego imieniu działa Zastępca Dyrektora Łódzkiego Ośrodka Geodezji - opinia z dnia 20 lutego 2025 r., znak: OKS.071.25.2025.1.</w:t>
      </w:r>
      <w:r>
        <w:rPr>
          <w:color w:val="000000"/>
          <w:szCs w:val="20"/>
        </w:rPr>
        <w:t xml:space="preserve">AG informująca o braku zastrzeżeń w zakresie ochrony gruntów rolnych i leśnych oraz w zakresie przepisów prawa geodezyjnego i kartograficznego; </w:t>
      </w:r>
    </w:p>
    <w:p w14:paraId="44DAD6DE" w14:textId="77777777" w:rsidR="00C65096" w:rsidRDefault="0073268E">
      <w:pPr>
        <w:spacing w:before="120" w:after="120"/>
        <w:ind w:firstLine="340"/>
        <w:jc w:val="both"/>
        <w:rPr>
          <w:szCs w:val="20"/>
        </w:rPr>
      </w:pPr>
      <w:r>
        <w:rPr>
          <w:szCs w:val="20"/>
        </w:rPr>
        <w:t xml:space="preserve">- Zarząd Województwa Łódzkiego pismem z dnia 17 marca 2025 r., znak: BPRWŁ.ZP.405.1.2025 poinformował o braku możliwości zaopiniowania przedłożonego wniosku z uwagi na fakt, że Województwo Łódzkie nie posiada audytu krajobrazowego. </w:t>
      </w:r>
    </w:p>
    <w:p w14:paraId="1A71D43F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Łódzki Państwowy Woje</w:t>
      </w:r>
      <w:r>
        <w:rPr>
          <w:color w:val="000000"/>
          <w:szCs w:val="20"/>
        </w:rPr>
        <w:t>wódzki Inspektor Sanitarny pismem z dnia 03 marca 2025 r., znak: NS OZNS.9022.131.2024.AK poinformował o pozytywnej opinii dla przedłożonego wniosku z uwagą dotyczącą braku informacji na temat planowanej ilości miejsc postojowych w garażu na parterze, zaop</w:t>
      </w:r>
      <w:r>
        <w:rPr>
          <w:color w:val="000000"/>
          <w:szCs w:val="20"/>
        </w:rPr>
        <w:t xml:space="preserve">atrzenia w gaz oraz potwierdzenia od Zarządcy dróg publicznych zapewniającego połączenie inwestycji z drogami od strony ul. Rewolucji 1905 roku oraz ul. Jaracza poprzez projektowane lub istniejące zjazdy. </w:t>
      </w:r>
    </w:p>
    <w:p w14:paraId="1BE8474F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Miejska Komisja Urbanistyczno-Architektoniczna p</w:t>
      </w:r>
      <w:r>
        <w:rPr>
          <w:color w:val="000000"/>
          <w:szCs w:val="20"/>
        </w:rPr>
        <w:t xml:space="preserve">rzekazała Uchwałę nr 8/III/2025 z dnia 6 marca 2025 roku wydając negatywną opinię dotyczącą lokalizacji tej inwestycji, uzasadniając, że przewyższenie kompozycyjne jest nieuzasadnione (nie przedstawiono argumentów rzeczowych na ten temat) oraz uznając, że </w:t>
      </w:r>
      <w:r>
        <w:rPr>
          <w:color w:val="000000"/>
          <w:szCs w:val="20"/>
        </w:rPr>
        <w:t xml:space="preserve">architektura obiektu, w szczególności elewacje, są banalne i nieciekawe, nawiązujące do bloków mieszkalnych zamiast do śródmiejskiej kamienicy. </w:t>
      </w:r>
    </w:p>
    <w:p w14:paraId="3904740C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Szef Centralnego Wojskowego Centrum Rekrutacji, Szef Ośrodka Zamiejscowego w Łodzi pismem z dnia 24 lutego 20</w:t>
      </w:r>
      <w:r>
        <w:rPr>
          <w:color w:val="000000"/>
          <w:szCs w:val="20"/>
        </w:rPr>
        <w:t xml:space="preserve">25 roku, znak: CWCR_OZ_Łódź-WWiZ.0732.98.2025  poinformował o braku uwag do wniosku. </w:t>
      </w:r>
    </w:p>
    <w:p w14:paraId="7AE4BBBC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Marszałek Województwa Łódzkiego w odniesieniu do terenów nieobjętych obowiązującymi planami zagospodarowania przestrzennego, w piśmie z dnia 17 marca 2025 r. znak: BPRW</w:t>
      </w:r>
      <w:r>
        <w:rPr>
          <w:color w:val="000000"/>
          <w:szCs w:val="20"/>
        </w:rPr>
        <w:t xml:space="preserve">Ł.ZP.405.2.2025 wskazał, że należy przy realizacji omawianej inwestycji mieszkaniowej uwzględnić zasady dostosowania systemu kanalizacji miejskiej do wymogów Dyrektywy Rady 91/271/EWG dotyczącej oczyszczania ścieków Aglomeracji Łódzkiej. </w:t>
      </w:r>
    </w:p>
    <w:p w14:paraId="34031129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Wojewoda Łódzki</w:t>
      </w:r>
      <w:r>
        <w:rPr>
          <w:color w:val="000000"/>
          <w:szCs w:val="20"/>
        </w:rPr>
        <w:t xml:space="preserve"> w piśmie z dnia 14 marca 2025 r. znak: GPB-1.745.4.2025 MM w odniesieniu do terenów nieobjętych obowiązującymi planami zagospodarowania przestrzennego zwrócił uwagę na to, że wysokość planowanych inwestycji co do zasady nie </w:t>
      </w:r>
      <w:r>
        <w:rPr>
          <w:szCs w:val="20"/>
        </w:rPr>
        <w:t>może być wyższa niż 7 kondygnac</w:t>
      </w:r>
      <w:r>
        <w:rPr>
          <w:szCs w:val="20"/>
        </w:rPr>
        <w:t xml:space="preserve">ji </w:t>
      </w:r>
      <w:r>
        <w:rPr>
          <w:color w:val="000000"/>
          <w:szCs w:val="20"/>
        </w:rPr>
        <w:t>nadziemnych, jednakże ustalona we wniosku wysokość części planowanej inwestycji - 8 kondygnacji nadziemnych, spełnia wymagania ustawy. Wojewoda zwrócił także uwagę, że planowana inwestycja objęta jest uchwałą Nr LXXII/1914/18 Rady Miejskiej w Łodzi z dn</w:t>
      </w:r>
      <w:r>
        <w:rPr>
          <w:color w:val="000000"/>
          <w:szCs w:val="20"/>
        </w:rPr>
        <w:t xml:space="preserve">ia 14 czerwca 2018 r. w sprawie przystąpienia do sporządzenia miejscowego planu zagospodarowania przestrzennego dla części obszaru miasta Łodzi położonej w rejonie ulic: Północnej, </w:t>
      </w:r>
      <w:proofErr w:type="spellStart"/>
      <w:r>
        <w:rPr>
          <w:color w:val="000000"/>
          <w:szCs w:val="20"/>
        </w:rPr>
        <w:t>hm</w:t>
      </w:r>
      <w:proofErr w:type="spellEnd"/>
      <w:r>
        <w:rPr>
          <w:color w:val="000000"/>
          <w:szCs w:val="20"/>
        </w:rPr>
        <w:t>. A. Kamińskiego, S. Jaracza i dr. S. Sterlinga.</w:t>
      </w:r>
    </w:p>
    <w:p w14:paraId="74B62117" w14:textId="77777777" w:rsidR="00C65096" w:rsidRDefault="0073268E">
      <w:pPr>
        <w:spacing w:before="120" w:after="120"/>
        <w:ind w:firstLine="510"/>
        <w:jc w:val="both"/>
        <w:rPr>
          <w:color w:val="F00000"/>
          <w:szCs w:val="20"/>
        </w:rPr>
      </w:pPr>
      <w:r>
        <w:rPr>
          <w:color w:val="000000"/>
          <w:szCs w:val="20"/>
        </w:rPr>
        <w:t>W ustawowym terminie nie</w:t>
      </w:r>
      <w:r>
        <w:rPr>
          <w:color w:val="000000"/>
          <w:szCs w:val="20"/>
        </w:rPr>
        <w:t xml:space="preserve"> wpłynęły ponadto opinie, właściwe według specustawy dla terenu inwestycji: </w:t>
      </w:r>
    </w:p>
    <w:p w14:paraId="0A206F56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- Komendanta Wojewódzkiej Państwowej Straży Pożarnej w Łodzi, </w:t>
      </w:r>
    </w:p>
    <w:p w14:paraId="195BF303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 xml:space="preserve">- Agencji Bezpieczeństwa Wewnętrznego/Dyrektora Delegatury w Katowicach, </w:t>
      </w:r>
    </w:p>
    <w:p w14:paraId="7786797A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lastRenderedPageBreak/>
        <w:t>- Komendanta Wojewódzkiego Policji w Łodzi</w:t>
      </w:r>
      <w:r>
        <w:rPr>
          <w:szCs w:val="20"/>
        </w:rPr>
        <w:t xml:space="preserve">, </w:t>
      </w:r>
    </w:p>
    <w:p w14:paraId="7CEF30C8" w14:textId="77777777" w:rsidR="00C65096" w:rsidRDefault="0073268E">
      <w:pPr>
        <w:spacing w:before="120" w:after="120"/>
        <w:ind w:firstLine="570"/>
        <w:jc w:val="both"/>
        <w:rPr>
          <w:szCs w:val="20"/>
        </w:rPr>
      </w:pPr>
      <w:r>
        <w:rPr>
          <w:szCs w:val="20"/>
        </w:rPr>
        <w:t>- Komendanta Nadwiślańskiego Oddziału Straży Granicznej im. Powstania Warszawskiego,</w:t>
      </w:r>
    </w:p>
    <w:p w14:paraId="7F2F6569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szCs w:val="20"/>
        </w:rPr>
        <w:t>- Prezesa Urzędu Lotnictwa Cywilnego,</w:t>
      </w:r>
    </w:p>
    <w:p w14:paraId="5852579E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 do których zgodnie z art. 7 ust. 13 specustawy nieprzekazanie opinii w terminie 21 dni od dnia otrzymania powiadomienia uznaje </w:t>
      </w:r>
      <w:r>
        <w:rPr>
          <w:color w:val="000000"/>
          <w:szCs w:val="20"/>
        </w:rPr>
        <w:t xml:space="preserve">się za brak zastrzeżeń. </w:t>
      </w:r>
    </w:p>
    <w:p w14:paraId="69F82695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Organy uzgadniające: </w:t>
      </w:r>
    </w:p>
    <w:p w14:paraId="6FED0854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- Zarząd Dróg i Transportu postanowieniem nr ZDiT-UU.40121.4.7.2025 z dnia 10 marca 2025 r. uzgodnił przedłożony wniosek o ustalenie lokalizacji inwestycji mieszkaniowej w zakresie, w jakim projektowana inwest</w:t>
      </w:r>
      <w:r>
        <w:rPr>
          <w:color w:val="000000"/>
          <w:szCs w:val="20"/>
        </w:rPr>
        <w:t xml:space="preserve">ycja przebiega przez nieruchomości wchodzące w skład pasa drogowego, przylega do nieruchomości wchodzących w skład pasa drogowego lub powoduje ograniczenia w sposobie zagospodarowania pasa drogowego i zaakceptował zaproponowaną obsługę komunikacyjną przez </w:t>
      </w:r>
      <w:r>
        <w:rPr>
          <w:color w:val="000000"/>
          <w:szCs w:val="20"/>
        </w:rPr>
        <w:t>projektowany, zlokalizowany w północno-wschodniej granicy dz. nr 152/2 w obrębie S-2 zjazd z pasa drogowego ul. Rewolucji 1905 r., funkcjonujący wyłącznie w relacjach prawoskrętnych, przy czym podkreślił, że wskazany sposób obsługi będzie możliwy do realiz</w:t>
      </w:r>
      <w:r>
        <w:rPr>
          <w:color w:val="000000"/>
          <w:szCs w:val="20"/>
        </w:rPr>
        <w:t>acji wyłącznie po spełnieniu przez Inwestora  określonych w tym uzgodnieniu warunków:</w:t>
      </w:r>
    </w:p>
    <w:p w14:paraId="7365756D" w14:textId="77777777" w:rsidR="00C65096" w:rsidRDefault="0073268E">
      <w:pPr>
        <w:keepLines/>
        <w:spacing w:before="120" w:after="120"/>
        <w:ind w:left="454"/>
        <w:jc w:val="both"/>
        <w:rPr>
          <w:color w:val="000000"/>
          <w:szCs w:val="20"/>
        </w:rPr>
      </w:pPr>
      <w:r>
        <w:rPr>
          <w:color w:val="000000"/>
          <w:szCs w:val="20"/>
        </w:rPr>
        <w:t>- - rozwiązania kolizji projektowanego zjazdu z drzewem rosnącym w pasie drogowym ul. Rewolucji 1905 r., poprzez uzyskanie stosownych zgód w Wydziale Kształtowania Środow</w:t>
      </w:r>
      <w:r>
        <w:rPr>
          <w:color w:val="000000"/>
          <w:szCs w:val="20"/>
        </w:rPr>
        <w:t>iska UMŁ oraz Zarządzie Zieleni Miejskiej.</w:t>
      </w:r>
    </w:p>
    <w:p w14:paraId="1656BAA1" w14:textId="77777777" w:rsidR="00C65096" w:rsidRDefault="0073268E">
      <w:pPr>
        <w:keepLines/>
        <w:spacing w:before="120" w:after="120"/>
        <w:ind w:left="454"/>
        <w:jc w:val="both"/>
        <w:rPr>
          <w:color w:val="000000"/>
          <w:szCs w:val="20"/>
        </w:rPr>
      </w:pPr>
      <w:r>
        <w:rPr>
          <w:color w:val="000000"/>
          <w:szCs w:val="20"/>
        </w:rPr>
        <w:t>- - geometrię planowanego zjazdu należy zaprojektować w taki sposób, aby nie wchodził on w światło nieruchomości sąsiedniej, tj. dz. nr 153/2 w obrębie S-2,  dążąc do ograniczenia szerokości zjazdów w strefie śród</w:t>
      </w:r>
      <w:r>
        <w:rPr>
          <w:color w:val="000000"/>
          <w:szCs w:val="20"/>
        </w:rPr>
        <w:t>miejskiej, by zminimalizować potencjalny obszar kolizji, poprzez zaprojektowanie azylu między istniejącym zjazdem na teren dz. nr 153/2 w obrębie S-2, a nowo projektowanym zjazdem w celu zapewnienia bezpieczeństwa ruchu pieszych, hulajnóg elektrycznych ora</w:t>
      </w:r>
      <w:r>
        <w:rPr>
          <w:color w:val="000000"/>
          <w:szCs w:val="20"/>
        </w:rPr>
        <w:t>z urządzeń transportu osobistego,  dla</w:t>
      </w:r>
      <w:r>
        <w:rPr>
          <w:szCs w:val="20"/>
        </w:rPr>
        <w:t xml:space="preserve"> tych</w:t>
      </w:r>
      <w:r>
        <w:rPr>
          <w:color w:val="000000"/>
          <w:szCs w:val="20"/>
        </w:rPr>
        <w:t xml:space="preserve"> użytkowników pasa drogowego.</w:t>
      </w:r>
    </w:p>
    <w:p w14:paraId="184278D9" w14:textId="77777777" w:rsidR="00C65096" w:rsidRDefault="0073268E">
      <w:pPr>
        <w:keepLines/>
        <w:spacing w:before="120" w:after="120"/>
        <w:ind w:left="454"/>
        <w:jc w:val="both"/>
        <w:rPr>
          <w:color w:val="000000"/>
          <w:szCs w:val="20"/>
        </w:rPr>
      </w:pPr>
      <w:r>
        <w:rPr>
          <w:color w:val="000000"/>
          <w:szCs w:val="20"/>
        </w:rPr>
        <w:t>- - projektowany zjazd należy wykonać z materiałów analogicznych, jakie zostały użyte do wykonania innych zjazdów podczas przebudowy ulicy, istniejący zjazd z pasa drogowego ul. Rewol</w:t>
      </w:r>
      <w:r>
        <w:rPr>
          <w:color w:val="000000"/>
          <w:szCs w:val="20"/>
        </w:rPr>
        <w:t>ucji 1905 r. na dz. nr 152/2 w obrębie S-2 należy zlikwidować, a w jego miejsce odtworzyć elementy pasa drogowego w nawiązaniu do istniejącego sposobu zagospodarowania,</w:t>
      </w:r>
    </w:p>
    <w:p w14:paraId="4922E5D0" w14:textId="77777777" w:rsidR="00C65096" w:rsidRDefault="00C65096">
      <w:pPr>
        <w:spacing w:before="120" w:after="120"/>
        <w:ind w:firstLine="340"/>
        <w:jc w:val="both"/>
        <w:rPr>
          <w:color w:val="000000"/>
          <w:szCs w:val="20"/>
        </w:rPr>
      </w:pPr>
    </w:p>
    <w:p w14:paraId="5AD73341" w14:textId="77777777" w:rsidR="00C65096" w:rsidRDefault="0073268E">
      <w:pPr>
        <w:spacing w:before="120" w:after="120"/>
        <w:ind w:firstLine="340"/>
        <w:jc w:val="both"/>
        <w:rPr>
          <w:color w:val="F00000"/>
          <w:szCs w:val="20"/>
        </w:rPr>
      </w:pPr>
      <w:r>
        <w:rPr>
          <w:color w:val="000000"/>
          <w:szCs w:val="20"/>
        </w:rPr>
        <w:t xml:space="preserve">- Łódzki Wojewódzki Konserwator Zabytków postanowieniem z dnia 17 marca 2025 r. znak: </w:t>
      </w:r>
      <w:r>
        <w:rPr>
          <w:color w:val="000000"/>
          <w:szCs w:val="20"/>
        </w:rPr>
        <w:t xml:space="preserve">WUOZ-PP.5151.384.2025,KP uzgodnił przedłożony wniosek w zakresie zgodności z zapisami ustawy z dnia 23 lipca 2003 r. o ochronie zabytków i opiece nad zabytkami (Dz. U. z 2024 r. poz. 1292). </w:t>
      </w:r>
    </w:p>
    <w:p w14:paraId="0CD62486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color w:val="000000"/>
          <w:szCs w:val="20"/>
        </w:rPr>
        <w:t>Dodatkowo do Biura Architekta Miasta wpłynęło pismo nawiązujące d</w:t>
      </w:r>
      <w:r>
        <w:rPr>
          <w:color w:val="000000"/>
          <w:szCs w:val="20"/>
        </w:rPr>
        <w:t>o pisma DEP-Ed-I.0124.7.2024 z dnia 7 marca 2025 r. z uwagą Zarządu Wspólnoty Mieszkaniowej "LEADER HOUSE" zawiązanej dla nieruchomości przy ul. Jaracza 72a odnośnie złożonego wniosku. Wspólnota mieszkaniowa wyraża sprzeciw dotyczący przedmiotowej inwestyc</w:t>
      </w:r>
      <w:r>
        <w:rPr>
          <w:color w:val="000000"/>
          <w:szCs w:val="20"/>
        </w:rPr>
        <w:t>ji, przedstawiając swoje stanowisko i zaznaczając, że jej realizacja będzie miała bezpośredni, negatywny wpływ na ich budynek i garaż podziemny posadowiony na działkach wspólnoty o nr ewidencyjnych 159/3, 159/54, 159/55. W ocenie wspólnoty planowana inwest</w:t>
      </w:r>
      <w:r>
        <w:rPr>
          <w:color w:val="000000"/>
          <w:szCs w:val="20"/>
        </w:rPr>
        <w:t>ycja przewiduje drogę dojazdową i przejście do działki Inwestora, zgodnie z ustanowioną zapisem w księdze wieczystej służebnością przejścia i przejazdu, przy czym konstrukcja garażu podziemnego inwestycji sąsiadującej, znajdującego się na w/w działkach nie</w:t>
      </w:r>
      <w:r>
        <w:rPr>
          <w:color w:val="000000"/>
          <w:szCs w:val="20"/>
        </w:rPr>
        <w:t xml:space="preserve"> jest przystosowana do tak intensywnego ruchu pojazdów, co mają potwierdzać </w:t>
      </w:r>
      <w:r>
        <w:rPr>
          <w:color w:val="000000"/>
          <w:szCs w:val="20"/>
        </w:rPr>
        <w:lastRenderedPageBreak/>
        <w:t>ekspertyzy techniczne budynku na posesji przy ul. Jaracza 72a. Ponadto w sprawie wspomnianej służebności toczy się postępowanie sądowe w celu jej zniesienia, co jest kolejnym argum</w:t>
      </w:r>
      <w:r>
        <w:rPr>
          <w:color w:val="000000"/>
          <w:szCs w:val="20"/>
        </w:rPr>
        <w:t xml:space="preserve">entem mieszkańców. Zarząd Wspólnoty Mieszkaniowej „LEADER HOUSE" wniósł w/w pismem o odrzucenie wniosku Inwestora. </w:t>
      </w:r>
      <w:r>
        <w:rPr>
          <w:szCs w:val="20"/>
        </w:rPr>
        <w:t>Ponadto w dniu 21 marca 2025 r. wpłynął do Biura Architekta Miasta odpis postanowienia Sądu Rejonowego dla Łodzi- Śródmieście z dnia 10 marca</w:t>
      </w:r>
      <w:r>
        <w:rPr>
          <w:szCs w:val="20"/>
        </w:rPr>
        <w:t xml:space="preserve"> 202r roku (sygn. akt III C 110/25) mówiący o zabezpieczaniu powództwa Wspólnoty Mieszkaniowej nieruchomości przy ul. Jaracza 72a, poprzez zakazanie uprawnionemu z tytułu służebności gruntowej przejazdu i przechodu wpisanej do księgi wieczystej, do korzyst</w:t>
      </w:r>
      <w:r>
        <w:rPr>
          <w:szCs w:val="20"/>
        </w:rPr>
        <w:t>ania z tejże służebności z wykorzystaniem wszelkich pojazdów o nośności przekraczającej 2.5 tony na czas trwania niniejszego postępowania.</w:t>
      </w:r>
    </w:p>
    <w:p w14:paraId="0E43EF57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szCs w:val="20"/>
        </w:rPr>
        <w:t>W</w:t>
      </w:r>
      <w:r>
        <w:rPr>
          <w:color w:val="F00000"/>
          <w:szCs w:val="20"/>
        </w:rPr>
        <w:t xml:space="preserve"> </w:t>
      </w:r>
      <w:r>
        <w:rPr>
          <w:szCs w:val="20"/>
        </w:rPr>
        <w:t xml:space="preserve">ocenie Biura Architekta Miasta ustanowiona na </w:t>
      </w:r>
      <w:proofErr w:type="spellStart"/>
      <w:r>
        <w:rPr>
          <w:szCs w:val="20"/>
        </w:rPr>
        <w:t>ww</w:t>
      </w:r>
      <w:proofErr w:type="spellEnd"/>
      <w:r>
        <w:rPr>
          <w:szCs w:val="20"/>
        </w:rPr>
        <w:t xml:space="preserve"> nieruchomościach służebność istnieje na dzień tworzenia uchwały i </w:t>
      </w:r>
      <w:r>
        <w:rPr>
          <w:szCs w:val="20"/>
        </w:rPr>
        <w:t>wszelkie sprawy z nią związane nie podlegają rozpatrzeniu przez Biuro Architekta Miasta, ponieważ nie są elementem postępowania o ustanowienie lokalizacji inwestycji mieszkaniowej na mocy ustawy z dnia 5 lipca 2018 r. o ułatwieniach w przygotowaniu i reali</w:t>
      </w:r>
      <w:r>
        <w:rPr>
          <w:szCs w:val="20"/>
        </w:rPr>
        <w:t>zacji inwestycji mieszkaniowych oraz inwestycji towarzyszących, w związku z tym członkowie Rady Miejskiej nie powinni brać ich pod uwagę przy podejmowaniu decyzji o ustanowieniu lub odmowie ustanowienia lokalizacji inwestycji mieszkaniowej.</w:t>
      </w:r>
      <w:r>
        <w:rPr>
          <w:color w:val="F00000"/>
          <w:szCs w:val="20"/>
        </w:rPr>
        <w:t xml:space="preserve"> </w:t>
      </w:r>
    </w:p>
    <w:p w14:paraId="5F419B18" w14:textId="77777777" w:rsidR="00C65096" w:rsidRDefault="0073268E">
      <w:pPr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Wydane w sprawie postanowienia, opinie oraz uwagi zostały przekazane do wnioskodawcy. </w:t>
      </w:r>
    </w:p>
    <w:p w14:paraId="72E7D449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Do projektu uchwały, zgodnie z art. 7 ust. 17 specustawy dołączone zostały uzyskane opinie, uzgodnienia oraz uwagi. </w:t>
      </w:r>
    </w:p>
    <w:p w14:paraId="42C7FC4A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  <w:u w:val="single"/>
        </w:rPr>
      </w:pPr>
      <w:r>
        <w:rPr>
          <w:color w:val="000000"/>
          <w:szCs w:val="20"/>
        </w:rPr>
        <w:t>Planowany sposób zagospodarowania terenu obejmuje bu</w:t>
      </w:r>
      <w:r>
        <w:rPr>
          <w:color w:val="000000"/>
          <w:szCs w:val="20"/>
        </w:rPr>
        <w:t xml:space="preserve">dowę dwóch budynków mieszkalnych wielorodzinnych z garażami podziemnymi i częścią garażową w parterze oraz budowę urządzeń budowlanych. Dodatkowo planuje się wycinkę  </w:t>
      </w:r>
      <w:r>
        <w:rPr>
          <w:szCs w:val="20"/>
        </w:rPr>
        <w:t>35 sztuk drzew i krzewów</w:t>
      </w:r>
      <w:r>
        <w:rPr>
          <w:color w:val="F00000"/>
          <w:szCs w:val="20"/>
        </w:rPr>
        <w:t xml:space="preserve"> </w:t>
      </w:r>
      <w:r>
        <w:rPr>
          <w:color w:val="000000"/>
          <w:szCs w:val="20"/>
        </w:rPr>
        <w:t>znajdujących się na terenie inwestycji i kolidujących z planowan</w:t>
      </w:r>
      <w:r>
        <w:rPr>
          <w:color w:val="000000"/>
          <w:szCs w:val="20"/>
        </w:rPr>
        <w:t xml:space="preserve">ą budową budynków. </w:t>
      </w:r>
      <w:r>
        <w:rPr>
          <w:szCs w:val="20"/>
        </w:rPr>
        <w:t>Wydział Ochrony Środowiska i Rolnictwa po zapoznaniu się z istniejącym na działce drzewostanem zarekomendował zachowanie jak największej ilości drzew i krzewów w tym przede wszystkim trzech sztuk jesionów, trzech sztuk topoli włoskich or</w:t>
      </w:r>
      <w:r>
        <w:rPr>
          <w:szCs w:val="20"/>
        </w:rPr>
        <w:t>az szpalerów krzewów cisa pospolitego i żywotnika zachodniego, będących siedliskiem ptaków oraz mających duże znaczenie pod względem społecznym, przyrodniczym i krajobrazowym ze względu na lokalizację w ścisłym centrum miasta.</w:t>
      </w:r>
      <w:r>
        <w:rPr>
          <w:color w:val="000000"/>
          <w:szCs w:val="20"/>
        </w:rPr>
        <w:t xml:space="preserve"> Projektuje się przebudowę ins</w:t>
      </w:r>
      <w:r>
        <w:rPr>
          <w:color w:val="000000"/>
          <w:szCs w:val="20"/>
        </w:rPr>
        <w:t>talacji elektroenergetycznej, teletechnicznej, wodno-kanalizacyjnej, kanalizacji deszczowej oraz infrastruktury ciepłowniczej i likwidację instalacji gazowej. Projektowane budynki należą do grupy wysokościowej budynków średniowysokich. Część frontowa budyn</w:t>
      </w:r>
      <w:r>
        <w:rPr>
          <w:color w:val="000000"/>
          <w:szCs w:val="20"/>
        </w:rPr>
        <w:t>ku nr 2 od ul. Rewolucji 1905 roku osiąga wysokość do 13 m (4 kondygnacje), część południowa budynku nr 2 posiada wysokość do 20 m (7 kondygnacji). W głębi działki w odległości około 45 m od ul. Rewolucji 1905 roku obiekt (budynek nr 1) zwiększa wysokość d</w:t>
      </w:r>
      <w:r>
        <w:rPr>
          <w:color w:val="000000"/>
          <w:szCs w:val="20"/>
        </w:rPr>
        <w:t xml:space="preserve">o 8 kondygnacji i 24 m (w koncepcji około 23 m). Budynki posiadają maksymalnie 8 kondygnacji nadziemnych oraz dwie kondygnacje podziemne. Obiekty tworzą układ na planie litery "T". Planuje się dachy płaskie oraz dachy zielone. Część mieszkalna obejmuje od </w:t>
      </w:r>
      <w:r>
        <w:rPr>
          <w:color w:val="000000"/>
          <w:szCs w:val="20"/>
        </w:rPr>
        <w:t>280 do 330 mieszkań na kondygnacjach od 1 do 8. Główne wejścia do części mieszkalnej zlokalizowane od strony wschodniej. Na kondygnacjach podziemnych projektuje się garaż podziemny z miejscami postojowymi dla samochodów osobowych oraz pomieszczenia technic</w:t>
      </w:r>
      <w:r>
        <w:rPr>
          <w:color w:val="000000"/>
          <w:szCs w:val="20"/>
        </w:rPr>
        <w:t>zne. Część garażową planuje się również w parterze budynku. Przewiduje się wewnętrzny układ komunikacyjny jako utwardzenia terenu w postaci ciągów pieszo-jezdnych. Powierzchnia terenu inwestycji wynosi 5285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. Powierzchnia zabudowy wynosi od 2400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>do 26</w:t>
      </w:r>
      <w:r>
        <w:rPr>
          <w:color w:val="000000"/>
          <w:szCs w:val="20"/>
        </w:rPr>
        <w:t>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. Projektowana powierzchnia biologicznie czynna określona została na minimum 1350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>, co stanowi wskaźnik nie mniejszy niż 12,5% terenu objętego wnioskiem. Projektowane powierzchnie utwardzone mają stanowić od 1400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>do 1600 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.  </w:t>
      </w:r>
    </w:p>
    <w:p w14:paraId="0D2681D2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Wnioskodawca złożył oświadczenie, o którym mowa w art. 7 ust. 8 pkt 2 specustawy, że nie zachodzi kolizja lokalizacji inwestycji mieszkaniowej z inwestycjami, o których mowa </w:t>
      </w:r>
      <w:r>
        <w:rPr>
          <w:color w:val="000000"/>
          <w:szCs w:val="20"/>
        </w:rPr>
        <w:br/>
        <w:t>w art. 4 pkt 1-13 specustawy i które mają ustawowe pierwszeństwo przed inwestycja</w:t>
      </w:r>
      <w:r>
        <w:rPr>
          <w:color w:val="000000"/>
          <w:szCs w:val="20"/>
        </w:rPr>
        <w:t xml:space="preserve">mi mieszkaniowymi. </w:t>
      </w:r>
    </w:p>
    <w:p w14:paraId="194F0E16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Dla terenu wnioskowanej inwestycji nie obowiązują ustalenia miejscowego planu zagospodarowania przestrzennego. </w:t>
      </w:r>
    </w:p>
    <w:p w14:paraId="08DC2FB2" w14:textId="77777777" w:rsidR="00C65096" w:rsidRDefault="0073268E">
      <w:pPr>
        <w:spacing w:before="120" w:after="120"/>
        <w:ind w:firstLine="510"/>
        <w:jc w:val="both"/>
        <w:rPr>
          <w:color w:val="000000"/>
          <w:szCs w:val="20"/>
        </w:rPr>
      </w:pPr>
      <w:r>
        <w:rPr>
          <w:color w:val="000000"/>
          <w:szCs w:val="20"/>
        </w:rPr>
        <w:t>Zgodnie z art. 5 ust. 3 specustawy, inwestycje mieszkaniowe lub inwestycje towarzyszące realizuje się niezależnie od istnien</w:t>
      </w:r>
      <w:r>
        <w:rPr>
          <w:color w:val="000000"/>
          <w:szCs w:val="20"/>
        </w:rPr>
        <w:t xml:space="preserve">ia lub ustaleń miejscowego planu zagospodarowania przestrzennego pod warunkiem, że nie są sprzeczne ze Studium uwarunkowań kierunków zagospodarowania przestrzennego gminy oraz uchwałą o utworzeniu parku kulturowego. </w:t>
      </w:r>
    </w:p>
    <w:p w14:paraId="021E8101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Z ustaleń studium uwarunkowań i kierun</w:t>
      </w:r>
      <w:r>
        <w:rPr>
          <w:color w:val="000000"/>
          <w:szCs w:val="20"/>
        </w:rPr>
        <w:t>ków zagospodarowania przestrzennego, przyjętego uchwałą Nr LXIX/1753/18 Rady Miejskiej w Łodzi z dnia 28 marca 2018 r., zmienioną uchwałą Nr VI/215/19 Rady Miejskiej w Łodzi z dnia 6 marca 2019 r. oraz uchwałą Nr LII/1605/21 z dnia 22 grudnia 2021 r., zwan</w:t>
      </w:r>
      <w:r>
        <w:rPr>
          <w:color w:val="000000"/>
          <w:szCs w:val="20"/>
        </w:rPr>
        <w:t>ego dalej Studium, wynika, że lokalizacja wnioskowanej inwestycji mieszkaniowej znajduje się w jednostce W3b - strefa wielkomiejska, jednostka funkcjonalno-przestrzenna: wielofunkcyjne kwartały śródmiejskie III. Planowany sposób zagospodarowania inwestycji</w:t>
      </w:r>
      <w:r>
        <w:rPr>
          <w:color w:val="000000"/>
          <w:szCs w:val="20"/>
        </w:rPr>
        <w:t xml:space="preserve"> mieszkaniowej wpisuje się w ustalone dla terenu W3b kierunki zmian w ramach struktury przestrzennej. Projektowany budynek nr 2 uzupełnia istniejąca pierzeję ulicy Rewolucji 1905 roku. Lokalizacja inwestycji spełnia wymóg dotyczący kształtowania zieleni i </w:t>
      </w:r>
      <w:r>
        <w:rPr>
          <w:color w:val="000000"/>
          <w:szCs w:val="20"/>
        </w:rPr>
        <w:t xml:space="preserve">zapewnienia minimalnej dla terenów zabudowy mieszkaniowej w odległości nie większej niż 500 m od parku o powierzchni nie mniejszej niż 3 ha. Planowana inwestycja znajduje się w odległości około 225 m od parku  im. Stanisława Staszica o powierzchni 4,1 ha. </w:t>
      </w:r>
      <w:r>
        <w:rPr>
          <w:color w:val="000000"/>
          <w:szCs w:val="20"/>
        </w:rPr>
        <w:t xml:space="preserve">Zgodnie z planowanym sposobem zagospodarowania terenu inwestycji spełniony zostaje wskaźnik powierzchni biologicznie czynnej tj. minimum 5% (przewiduje się minimum </w:t>
      </w:r>
      <w:r>
        <w:rPr>
          <w:szCs w:val="20"/>
        </w:rPr>
        <w:t xml:space="preserve">25% </w:t>
      </w:r>
      <w:r>
        <w:rPr>
          <w:color w:val="000000"/>
          <w:szCs w:val="20"/>
        </w:rPr>
        <w:t>powierzchni biologicznie czynnej). W Studium wskazano maksymalną intensywność zabudowy 2</w:t>
      </w:r>
      <w:r>
        <w:rPr>
          <w:color w:val="000000"/>
          <w:szCs w:val="20"/>
        </w:rPr>
        <w:t>,5 liczoną dla całego terenu W3b. Inwestor wskazuje we wniosku, że planowana intensywność zabudowy po realizacji projektowanego budynku wyniesie 1,27. W Studium określono także maksymalną wysokość zabudowy tj. w nawiązaniu do zabudowy historycznej, nie wyż</w:t>
      </w:r>
      <w:r>
        <w:rPr>
          <w:color w:val="000000"/>
          <w:szCs w:val="20"/>
        </w:rPr>
        <w:t>ej niż 21 m, a w pierzejach z udziałem zabudowy istniejącej wyższej niż 21 oraz w narożnikach zabudowy przy skrzyżowaniach ulic - nie wyżej niż 25 m, z zastrzeżeniem przewyższeń uzasadnionych kompozycyjnie  nie wyżej  niż 30 m. Inwestor uzasadnia przewyższ</w:t>
      </w:r>
      <w:r>
        <w:rPr>
          <w:color w:val="000000"/>
          <w:szCs w:val="20"/>
        </w:rPr>
        <w:t xml:space="preserve">enie kompozycyjne z uwagi na zlokalizowany na działce sąsiedniej budynek o wysokości 10 kondygnacji. </w:t>
      </w:r>
      <w:r>
        <w:rPr>
          <w:szCs w:val="20"/>
        </w:rPr>
        <w:t>Inwestycja wpisuje się zatem w zapisy poprzez projektowaną wysokość budynku do 24 m ze względu na nawiązanie do dużo wyższego budynku mieszkalnego znajdują</w:t>
      </w:r>
      <w:r>
        <w:rPr>
          <w:szCs w:val="20"/>
        </w:rPr>
        <w:t xml:space="preserve">cego się w bliskim sąsiedztwie, tj. od strony południowej (dz. nr ewidencyjny 159/3). </w:t>
      </w:r>
      <w:r>
        <w:rPr>
          <w:color w:val="000000"/>
          <w:szCs w:val="20"/>
        </w:rPr>
        <w:t>Wniosek spełnia wymagania Studium w założeniach polityki parkingowej zakładającej zapotrzebowanie na miejsca parkingowe dla nowej zabudowy od 0,5 do 1,5 miejsca parkingow</w:t>
      </w:r>
      <w:r>
        <w:rPr>
          <w:color w:val="000000"/>
          <w:szCs w:val="20"/>
        </w:rPr>
        <w:t xml:space="preserve">ego na 1 mieszkanie. Zarówno przeznaczenie projektowanego budynku, intensywność zabudowy, jak i zagospodarowanie terenu inwestycji oraz wysokość planowanych budynków nie jest sprzeczna ze Studium. </w:t>
      </w:r>
    </w:p>
    <w:p w14:paraId="6747C5D3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Wniosek inwestora spełnia standardy lokalizacji i realizac</w:t>
      </w:r>
      <w:r>
        <w:rPr>
          <w:color w:val="000000"/>
          <w:szCs w:val="20"/>
        </w:rPr>
        <w:t>ji inwestycji mieszkaniowych określonych w rozdziale 3 specustawy w następujący sposób:</w:t>
      </w:r>
    </w:p>
    <w:p w14:paraId="477D0DEA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1) zgodnie z art. 17 ust. 1 specustawy:</w:t>
      </w:r>
    </w:p>
    <w:p w14:paraId="238BA7D2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a) inwestycja ma zapewniony dostęp do drogi publicznej z ul. Rewolucji 1905 roku zgodnie z pismem Zarządu Dróg i </w:t>
      </w:r>
      <w:r>
        <w:rPr>
          <w:color w:val="000000"/>
          <w:szCs w:val="20"/>
          <w:lang w:val="pt-PT" w:eastAsia="pt-PT" w:bidi="pt-PT"/>
        </w:rPr>
        <w:t>Transportu</w:t>
      </w:r>
      <w:r>
        <w:rPr>
          <w:color w:val="000000"/>
          <w:szCs w:val="20"/>
        </w:rPr>
        <w:t xml:space="preserve"> nr Z</w:t>
      </w:r>
      <w:r>
        <w:rPr>
          <w:color w:val="000000"/>
          <w:szCs w:val="20"/>
        </w:rPr>
        <w:t xml:space="preserve">DiT-UU.40121.4.7.2025 z dnia 10 marca 2025 r., </w:t>
      </w:r>
    </w:p>
    <w:p w14:paraId="3FB1E6A6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b) inwestycja ma zapewniony dostęp do sieci wodociągowej i kanalizacyjnej - zgodnie z pismem z Zakładu Wodociągów i Kanalizacji Sp. z o. o. znak: IT.424.1191.2024.AB2 z dnia 14 czerwca 2024 r. pismem znak: IT</w:t>
      </w:r>
      <w:r>
        <w:rPr>
          <w:color w:val="000000"/>
          <w:szCs w:val="20"/>
        </w:rPr>
        <w:t xml:space="preserve">.424.1223.2024.AB2 z dnia 28 maja 2024 r., </w:t>
      </w:r>
    </w:p>
    <w:p w14:paraId="26EA5376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>c) inwestycja ma zapewniony dostęp do sieci elektroenergetycznej - zgodnie z oświadczeniem o zapewnieniu dostaw energii elektrycznej oraz warunkach przyłączenia obiektu budowlanego do sieci dystrybucyjnej - pismo</w:t>
      </w:r>
      <w:r>
        <w:rPr>
          <w:color w:val="000000"/>
          <w:szCs w:val="20"/>
        </w:rPr>
        <w:t xml:space="preserve"> nr 24-D7/S/04259 z dnia 14 listopada 2024 r.; </w:t>
      </w:r>
    </w:p>
    <w:p w14:paraId="06909197" w14:textId="77777777" w:rsidR="00C65096" w:rsidRDefault="0073268E">
      <w:pPr>
        <w:spacing w:before="120" w:after="120"/>
        <w:ind w:firstLine="34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2) zgodnie z art. 17 ust. 2 w związku z art 19 specustawy i uchwałą Nr LXXVI/2076/18 Rady Miejskiej w Łodzi z dnia 10 października 2018 r. w sprawie lokalnych standardów </w:t>
      </w:r>
      <w:r>
        <w:rPr>
          <w:color w:val="000000"/>
          <w:szCs w:val="20"/>
          <w:u w:color="000000"/>
        </w:rPr>
        <w:t>urbanistycznych dla Miasta Łodzi</w:t>
      </w:r>
      <w:r>
        <w:rPr>
          <w:color w:val="000000"/>
          <w:szCs w:val="20"/>
        </w:rPr>
        <w:t>:</w:t>
      </w:r>
    </w:p>
    <w:p w14:paraId="732DF869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a) i</w:t>
      </w:r>
      <w:r>
        <w:rPr>
          <w:color w:val="000000"/>
          <w:szCs w:val="20"/>
        </w:rPr>
        <w:t xml:space="preserve">nwestycja mieszkaniowa zlokalizowana jest w odległości dojścia nie większej niż 500 m od istniejącego przystanku publicznego transportu zbiorowego - odległość przystanku komunikacji miejskiej 130 m, </w:t>
      </w:r>
    </w:p>
    <w:p w14:paraId="459FDAF1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b) inwestycja mieszkaniowa zlokalizowana jest w odległoś</w:t>
      </w:r>
      <w:r>
        <w:rPr>
          <w:color w:val="000000"/>
          <w:szCs w:val="20"/>
        </w:rPr>
        <w:t xml:space="preserve">ci nie większej niż 1000 m od szkoły podstawowej, która jest w stanie przyjąć nowych uczniów w liczbie dzieci stanowiącej nie mniej niż 7% planowanych mieszkańców inwestycji mieszkaniowej - we wniosku przewidziano 34 dzieci - a odległość dojścia do Szkoły </w:t>
      </w:r>
      <w:r>
        <w:rPr>
          <w:color w:val="000000"/>
          <w:szCs w:val="20"/>
        </w:rPr>
        <w:t>Podstawowej nr 94 przy ul. Zacisze 7/9 wynosi 380 m, co spełnia wymagane warunki i zostało potwierdzone zaświadczeniem nr DEP-Ed-I.0124.7.2024 z dnia 20 listopada 2024 r.,</w:t>
      </w:r>
    </w:p>
    <w:p w14:paraId="209F20B3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c) wysokość budynku wynosząca do 24 m, obejmująca do 8 kondygnacji nadziemnych, co s</w:t>
      </w:r>
      <w:r>
        <w:rPr>
          <w:color w:val="000000"/>
          <w:szCs w:val="20"/>
        </w:rPr>
        <w:t xml:space="preserve">pełnia warunki, o których mowa w § 2 ust. 4 lokalnych standardów urbanistycznych; </w:t>
      </w:r>
    </w:p>
    <w:p w14:paraId="13B64201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3) zgodnie z art. 17 ust. 4 w związku z art. 19 specustawy i lokalnymi standardami urbanistycznymi - inwestycja zlokalizowana jest w odległości mniejszej niż 1000 m od urząd</w:t>
      </w:r>
      <w:r>
        <w:rPr>
          <w:color w:val="000000"/>
          <w:szCs w:val="20"/>
        </w:rPr>
        <w:t>zonego terenu wypoczynku oraz rekreacji lub sportu wskazanych w uchwale i o powierzchni większej niż stanowi iloczyn planowanej liczby mieszkańców równej 483 oraz wskaźnika równego 4 m</w:t>
      </w:r>
      <w:r>
        <w:rPr>
          <w:color w:val="000000"/>
          <w:szCs w:val="20"/>
          <w:vertAlign w:val="superscript"/>
        </w:rPr>
        <w:t>2</w:t>
      </w:r>
      <w:r>
        <w:rPr>
          <w:color w:val="000000"/>
          <w:szCs w:val="20"/>
        </w:rPr>
        <w:t xml:space="preserve"> - iloczyn wynoszący 1932 m</w:t>
      </w:r>
      <w:r>
        <w:rPr>
          <w:color w:val="000000"/>
          <w:szCs w:val="20"/>
          <w:vertAlign w:val="superscript"/>
        </w:rPr>
        <w:t xml:space="preserve">2 </w:t>
      </w:r>
      <w:r>
        <w:rPr>
          <w:color w:val="000000"/>
          <w:szCs w:val="20"/>
        </w:rPr>
        <w:t>- w odległości około 225 m znajduje się Pa</w:t>
      </w:r>
      <w:r>
        <w:rPr>
          <w:color w:val="000000"/>
          <w:szCs w:val="20"/>
        </w:rPr>
        <w:t xml:space="preserve">rk im. Stanisława Staszica o powierzchni 4,1 ha; </w:t>
      </w:r>
    </w:p>
    <w:p w14:paraId="520EE512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4) zgodnie z art. 17 ust. 4b pkt 2 specustawy planowana inwestycja nie musi zapewniać minimalnego udziału powierzchni biologicznie czynnej poprzez realizację ogólnodostępnego, nieogrodzonego, urządzonego te</w:t>
      </w:r>
      <w:r>
        <w:rPr>
          <w:color w:val="000000"/>
          <w:szCs w:val="20"/>
        </w:rPr>
        <w:t xml:space="preserve">renu wypoczynku oraz rekreacji i sportu w granicach terenu objętego wnioskiem; </w:t>
      </w:r>
    </w:p>
    <w:p w14:paraId="2076D309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5) zgodnie z art. 19 ust. 3 specustawy i lokalnymi standardami urbanistycznymi:</w:t>
      </w:r>
    </w:p>
    <w:p w14:paraId="098ABE8A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a) inwestycja ma zapewniony dostęp do sieci ciepłowniczej zgodnie z informacją o technicznej moż</w:t>
      </w:r>
      <w:r>
        <w:rPr>
          <w:color w:val="000000"/>
          <w:szCs w:val="20"/>
        </w:rPr>
        <w:t xml:space="preserve">liwości podłączenia do Ciepła Systemowego planowanej inwestycji, zgodnie z zamiennymi warunkami przyłączenia nr 2 do sieci ciepłowniczej firmy </w:t>
      </w:r>
      <w:proofErr w:type="spellStart"/>
      <w:r>
        <w:rPr>
          <w:color w:val="000000"/>
          <w:szCs w:val="20"/>
        </w:rPr>
        <w:t>Veolia</w:t>
      </w:r>
      <w:proofErr w:type="spellEnd"/>
      <w:r>
        <w:rPr>
          <w:color w:val="000000"/>
          <w:szCs w:val="20"/>
        </w:rPr>
        <w:t xml:space="preserve"> Energia Łódź S.A. nr 362/24 z dnia 18 października 2024 r., </w:t>
      </w:r>
    </w:p>
    <w:p w14:paraId="2ABC6570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b) zapewniono niezbędną minimalną liczbę miej</w:t>
      </w:r>
      <w:r>
        <w:rPr>
          <w:color w:val="000000"/>
          <w:szCs w:val="20"/>
        </w:rPr>
        <w:t>sc parkingowych dla obsługi inwestycji mieszkaniowej, równą minimalnemu wskaźnikowi 1 m. p. na lokal mieszkalny (zgodnie z art. 17 ust. 4d specustawy) tj. przy maksymalnej liczbie mieszkań wynoszącej 330 łączna minimalna liczba miejsc parkingowych dla plan</w:t>
      </w:r>
      <w:r>
        <w:rPr>
          <w:color w:val="000000"/>
          <w:szCs w:val="20"/>
        </w:rPr>
        <w:t xml:space="preserve">owanej inwestycji wynosi 330. </w:t>
      </w:r>
    </w:p>
    <w:p w14:paraId="188C4119" w14:textId="77777777" w:rsidR="00C65096" w:rsidRDefault="007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firstLine="435"/>
        <w:jc w:val="both"/>
        <w:rPr>
          <w:color w:val="000000"/>
          <w:szCs w:val="20"/>
        </w:rPr>
      </w:pPr>
      <w:r>
        <w:rPr>
          <w:color w:val="000000"/>
          <w:szCs w:val="20"/>
        </w:rPr>
        <w:t>Projektowana inwestycja mieszkaniowa nie została zlokalizowana na terenach podlegających ochronie przed lokalizowaniem lub zabudową na podstawie odrębnych przepisów, a także w granicach otulin form ochrony przyrody, rodzinny</w:t>
      </w:r>
      <w:r>
        <w:rPr>
          <w:color w:val="000000"/>
          <w:szCs w:val="20"/>
        </w:rPr>
        <w:t xml:space="preserve">ch ogrodów działkowych czy obszaru szczególnego zagrożenia powodzią, zgodnie z art. 5 ust. 1 i 2 specustawy. </w:t>
      </w:r>
      <w:r>
        <w:rPr>
          <w:color w:val="000000"/>
          <w:sz w:val="23"/>
          <w:szCs w:val="20"/>
        </w:rPr>
        <w:t xml:space="preserve">Projektowana inwestycja nie jest zlokalizowana w odległościach, o których mowa w art. 5 ust. 3a specustawy. </w:t>
      </w:r>
    </w:p>
    <w:p w14:paraId="57AA1387" w14:textId="77777777" w:rsidR="00C65096" w:rsidRDefault="0073268E">
      <w:pPr>
        <w:spacing w:before="120" w:after="120"/>
        <w:ind w:firstLine="510"/>
        <w:jc w:val="both"/>
        <w:rPr>
          <w:szCs w:val="20"/>
        </w:rPr>
      </w:pPr>
      <w:r>
        <w:rPr>
          <w:color w:val="000000"/>
          <w:szCs w:val="20"/>
        </w:rPr>
        <w:lastRenderedPageBreak/>
        <w:t xml:space="preserve">Przy podejmowaniu niniejszej </w:t>
      </w:r>
      <w:r>
        <w:rPr>
          <w:color w:val="000000"/>
          <w:szCs w:val="20"/>
        </w:rPr>
        <w:t xml:space="preserve">uchwały Rada Miejska w Łodzi brała pod uwagę stan zaspokojenia potrzeb mieszkaniowych na terenie gminy oraz potrzeby i możliwości rozwoju gminy wynikające z ustaleń studium uwarunkowań i kierunków zagospodarowania przestrzennego gminy. </w:t>
      </w:r>
      <w:r>
        <w:rPr>
          <w:szCs w:val="20"/>
        </w:rPr>
        <w:t>W Studium uchwalonym</w:t>
      </w:r>
      <w:r>
        <w:rPr>
          <w:szCs w:val="20"/>
        </w:rPr>
        <w:t xml:space="preserve"> przez Radę Miejską  w kierunkach zmian dla jednostki funkcjonalno-przestrzennej oznaczonej jako W3b znajdują się wytyczne dotyczące zarówno struktury przestrzennej, wysokości nowej zabudowy, ale także kształtowania zieleni, w których to kładzie się duży n</w:t>
      </w:r>
      <w:r>
        <w:rPr>
          <w:szCs w:val="20"/>
        </w:rPr>
        <w:t>acisk na zwiększanie udziału zieleni, w szczególności drzew i krzewów zarówno w pasach drogowych jak również przestrzeniach publicznych, co w dobie zmian klimatycznych powinno mieć  również przełożenie na inwestycje prywatne planujące ingerencje w istnieją</w:t>
      </w:r>
      <w:r>
        <w:rPr>
          <w:szCs w:val="20"/>
        </w:rPr>
        <w:t>ce stare drzewostany i zieleńce. Zgodnie z wytycznymi Studium należy zwiększać, a nie ograniczać udział zieleni w ścisłym centrum zabudowy śródmiejskiej ponieważ ma to duże znaczenie społeczne, przyrodnicze i krajobrazowe. Planowana inwestycja nie przewidu</w:t>
      </w:r>
      <w:r>
        <w:rPr>
          <w:szCs w:val="20"/>
        </w:rPr>
        <w:t xml:space="preserve">je przestrzeni przyjaznych mieszkańcom, zakładając, że bliskość parku spełnia wymagane prawem uwarunkowania. Brak w projekcie zagospodarowania terenu placu zabaw, czy </w:t>
      </w:r>
      <w:proofErr w:type="spellStart"/>
      <w:r>
        <w:rPr>
          <w:szCs w:val="20"/>
        </w:rPr>
        <w:t>nasadzeń</w:t>
      </w:r>
      <w:proofErr w:type="spellEnd"/>
      <w:r>
        <w:rPr>
          <w:szCs w:val="20"/>
        </w:rPr>
        <w:t xml:space="preserve"> kompensacyjnych. Przychylając się do opinii Miejskiej Komisji Urbanistyczno-Arch</w:t>
      </w:r>
      <w:r>
        <w:rPr>
          <w:szCs w:val="20"/>
        </w:rPr>
        <w:t>itektonicznej, która oceniła projektowaną inwestycję, jako zbyt wysoką względem istniejących w sąsiedztwie kamienic, oraz nie spełniającą oczekiwań prospołecznych w kontekście nowoczesnej architektury nie znajduje się uzasadnienia dla Rady Miejskiej w Łodz</w:t>
      </w:r>
      <w:r>
        <w:rPr>
          <w:szCs w:val="20"/>
        </w:rPr>
        <w:t xml:space="preserve">i do podjęcia uchwały o ustaleniu wnioskowanej lokalizacji inwestycji mieszkaniowej w danej lokalizacji. </w:t>
      </w:r>
    </w:p>
    <w:sectPr w:rsidR="00C65096">
      <w:footerReference w:type="default" r:id="rId7"/>
      <w:pgSz w:w="12240" w:h="15840"/>
      <w:pgMar w:top="1133" w:right="850" w:bottom="1133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1A4E" w14:textId="77777777" w:rsidR="00000000" w:rsidRDefault="0073268E">
      <w:r>
        <w:separator/>
      </w:r>
    </w:p>
  </w:endnote>
  <w:endnote w:type="continuationSeparator" w:id="0">
    <w:p w14:paraId="41BBB244" w14:textId="77777777" w:rsidR="00000000" w:rsidRDefault="0073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65096" w14:paraId="799A82C1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B16D9A" w14:textId="77777777" w:rsidR="00C65096" w:rsidRDefault="0073268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C696F8" w14:textId="77777777" w:rsidR="00C65096" w:rsidRDefault="007326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2E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971E13" w14:textId="77777777" w:rsidR="00C65096" w:rsidRDefault="00C650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60"/>
      <w:gridCol w:w="3230"/>
    </w:tblGrid>
    <w:tr w:rsidR="00C65096" w14:paraId="07F4F372" w14:textId="77777777">
      <w:tc>
        <w:tcPr>
          <w:tcW w:w="646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FBCF5E" w14:textId="77777777" w:rsidR="00C65096" w:rsidRDefault="0073268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3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4F36C4" w14:textId="77777777" w:rsidR="00C65096" w:rsidRDefault="007326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12E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B2C01A7" w14:textId="77777777" w:rsidR="00C65096" w:rsidRDefault="00C650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0BC5" w14:textId="77777777" w:rsidR="00000000" w:rsidRDefault="0073268E">
      <w:r>
        <w:separator/>
      </w:r>
    </w:p>
  </w:footnote>
  <w:footnote w:type="continuationSeparator" w:id="0">
    <w:p w14:paraId="1E50DC24" w14:textId="77777777" w:rsidR="00000000" w:rsidRDefault="00732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3268E"/>
    <w:rsid w:val="00795991"/>
    <w:rsid w:val="00812EF2"/>
    <w:rsid w:val="00A77B3E"/>
    <w:rsid w:val="00C6509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22BBB"/>
  <w15:docId w15:val="{146BB4BB-0D4B-41C7-A614-0B92DD1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3538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ustalenia lokalizacji inwestycji mieszkaniowej przy ul. Rewolucji 1905 r. nr 61 w Łodzi.</dc:subject>
  <dc:creator>agacka</dc:creator>
  <cp:lastModifiedBy>Agnieszka Gacka</cp:lastModifiedBy>
  <cp:revision>2</cp:revision>
  <dcterms:created xsi:type="dcterms:W3CDTF">2025-04-07T06:57:00Z</dcterms:created>
  <dcterms:modified xsi:type="dcterms:W3CDTF">2025-04-07T06:57:00Z</dcterms:modified>
  <cp:category>Akt prawny</cp:category>
</cp:coreProperties>
</file>