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35" w:rsidRDefault="00303435" w:rsidP="00303435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bookmarkStart w:id="1" w:name="Bookmark"/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60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13 maja 2025 r.</w:t>
      </w: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303435" w:rsidRDefault="00303435" w:rsidP="00303435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303435" w:rsidRDefault="00303435" w:rsidP="00303435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 </w:t>
      </w:r>
    </w:p>
    <w:p w:rsidR="00303435" w:rsidRDefault="00303435" w:rsidP="00303435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Lokali Miejskich.</w:t>
      </w:r>
    </w:p>
    <w:p w:rsidR="00303435" w:rsidRDefault="00303435" w:rsidP="00303435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3435" w:rsidRDefault="00303435" w:rsidP="00303435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2024 r. poz. </w:t>
      </w:r>
      <w:r>
        <w:rPr>
          <w:rFonts w:ascii="Times New Roman" w:hAnsi="Times New Roman"/>
          <w:sz w:val="24"/>
          <w:szCs w:val="24"/>
        </w:rPr>
        <w:t xml:space="preserve">1465, </w:t>
      </w:r>
      <w:r>
        <w:rPr>
          <w:rFonts w:ascii="Times New Roman" w:hAnsi="Times New Roman" w:cs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art. 229 pkt 3, art. 237 § 3 oraz art. 238 § 1 ustawy z dnia 14 czerwca 1960 r. - Kodeks postępowania administracyjnego (Dz. U. </w:t>
      </w:r>
      <w:bookmarkStart w:id="2" w:name="_Hlk197946407"/>
      <w:r>
        <w:rPr>
          <w:rFonts w:ascii="Times New Roman" w:eastAsia="Calibri" w:hAnsi="Times New Roman" w:cs="Times New Roman"/>
          <w:sz w:val="24"/>
          <w:szCs w:val="24"/>
        </w:rPr>
        <w:t>z 2024 r. poz. 572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), Rada Miejska w Łodzi</w:t>
      </w:r>
    </w:p>
    <w:p w:rsidR="00303435" w:rsidRDefault="00303435" w:rsidP="00303435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303435" w:rsidRDefault="00303435" w:rsidP="00303435">
      <w:pPr>
        <w:pStyle w:val="Standard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3435" w:rsidRDefault="00303435" w:rsidP="00303435">
      <w:pPr>
        <w:pStyle w:val="Standard"/>
        <w:tabs>
          <w:tab w:val="left" w:pos="284"/>
        </w:tabs>
        <w:spacing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 p… na działania Dyrektora Zarządu Lokali Miejskich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uznaje się za bezzasadną.</w:t>
      </w:r>
    </w:p>
    <w:p w:rsidR="00303435" w:rsidRDefault="00303435" w:rsidP="00303435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03435" w:rsidRDefault="00303435" w:rsidP="00303435">
      <w:pPr>
        <w:pStyle w:val="Standard"/>
        <w:tabs>
          <w:tab w:val="left" w:pos="720"/>
          <w:tab w:val="left" w:pos="1080"/>
        </w:tabs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303435" w:rsidRDefault="00303435" w:rsidP="00303435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303435" w:rsidRDefault="00303435" w:rsidP="00303435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435" w:rsidRDefault="00303435" w:rsidP="00303435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ind w:left="4956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03435" w:rsidRDefault="00303435" w:rsidP="00303435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03435" w:rsidRDefault="00303435" w:rsidP="00303435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03435" w:rsidRDefault="00303435" w:rsidP="00303435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03435" w:rsidRDefault="00303435" w:rsidP="00303435">
      <w:pPr>
        <w:pStyle w:val="Standard"/>
        <w:spacing w:after="0" w:line="276" w:lineRule="auto"/>
        <w:ind w:left="4956" w:firstLine="8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03435" w:rsidRDefault="00303435" w:rsidP="00303435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303435" w:rsidRDefault="00303435" w:rsidP="00303435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303435" w:rsidRDefault="00303435" w:rsidP="00303435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03435" w:rsidRDefault="00303435" w:rsidP="00303435">
      <w:pPr>
        <w:pStyle w:val="Standard"/>
      </w:pPr>
    </w:p>
    <w:p w:rsidR="00303435" w:rsidRDefault="00303435" w:rsidP="00303435">
      <w:pPr>
        <w:pStyle w:val="Standard"/>
      </w:pPr>
    </w:p>
    <w:p w:rsidR="00303435" w:rsidRDefault="00303435" w:rsidP="00303435">
      <w:pPr>
        <w:pStyle w:val="Standard"/>
      </w:pPr>
    </w:p>
    <w:p w:rsidR="00303435" w:rsidRDefault="00303435" w:rsidP="00303435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3435" w:rsidRDefault="00303435" w:rsidP="00303435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ind w:left="5232" w:firstLine="708"/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303435" w:rsidRDefault="00303435" w:rsidP="00303435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303435" w:rsidRDefault="00303435" w:rsidP="00303435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03435" w:rsidRDefault="00303435" w:rsidP="00303435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303435" w:rsidRDefault="00303435" w:rsidP="00303435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3435" w:rsidRDefault="00303435" w:rsidP="00303435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303435" w:rsidRDefault="00303435" w:rsidP="00303435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35" w:rsidRPr="00BF3406" w:rsidRDefault="00303435" w:rsidP="00303435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BF3406">
        <w:rPr>
          <w:rFonts w:ascii="Times New Roman" w:eastAsia="Times New Roman" w:hAnsi="Times New Roman" w:cs="Times New Roman"/>
          <w:lang w:eastAsia="pl-PL"/>
        </w:rPr>
        <w:t xml:space="preserve">W dniu 31 marca 2025 r. do Rady Miejskiej w Łodzi wpłynęła skarga </w:t>
      </w:r>
      <w:r w:rsidRPr="00BF3406">
        <w:rPr>
          <w:rFonts w:ascii="Times New Roman" w:hAnsi="Times New Roman" w:cs="Times New Roman"/>
          <w:color w:val="auto"/>
        </w:rPr>
        <w:t xml:space="preserve">na działania </w:t>
      </w:r>
      <w:r>
        <w:rPr>
          <w:rFonts w:ascii="Times New Roman" w:hAnsi="Times New Roman" w:cs="Times New Roman"/>
          <w:color w:val="auto"/>
        </w:rPr>
        <w:t xml:space="preserve">Dyrektora </w:t>
      </w:r>
      <w:r w:rsidRPr="00BF3406">
        <w:rPr>
          <w:rFonts w:ascii="Times New Roman" w:hAnsi="Times New Roman" w:cs="Times New Roman"/>
          <w:color w:val="auto"/>
        </w:rPr>
        <w:t>Zarządu Lokali Miejskich w związku z rzekomym brakiem kontaktu i</w:t>
      </w:r>
      <w:r>
        <w:rPr>
          <w:rFonts w:ascii="Times New Roman" w:hAnsi="Times New Roman" w:cs="Times New Roman"/>
          <w:color w:val="auto"/>
        </w:rPr>
        <w:t> </w:t>
      </w:r>
      <w:r w:rsidRPr="00BF3406">
        <w:rPr>
          <w:rFonts w:ascii="Times New Roman" w:hAnsi="Times New Roman" w:cs="Times New Roman"/>
          <w:color w:val="auto"/>
        </w:rPr>
        <w:t>nieprawidłowościami w</w:t>
      </w:r>
      <w:r>
        <w:rPr>
          <w:rFonts w:ascii="Times New Roman" w:hAnsi="Times New Roman" w:cs="Times New Roman"/>
          <w:color w:val="auto"/>
        </w:rPr>
        <w:t> </w:t>
      </w:r>
      <w:r w:rsidRPr="00BF3406">
        <w:rPr>
          <w:rFonts w:ascii="Times New Roman" w:hAnsi="Times New Roman" w:cs="Times New Roman"/>
          <w:color w:val="auto"/>
        </w:rPr>
        <w:t xml:space="preserve">wystawianiu faktur za lokale użytkowe przy ul. Wschodniej. Skarżąca zarzuca, że </w:t>
      </w:r>
      <w:r>
        <w:rPr>
          <w:rFonts w:ascii="Times New Roman" w:hAnsi="Times New Roman" w:cs="Times New Roman"/>
          <w:color w:val="auto"/>
        </w:rPr>
        <w:t>Zarząd Lokali Miejskich</w:t>
      </w:r>
      <w:r w:rsidRPr="00BF3406">
        <w:rPr>
          <w:rFonts w:ascii="Times New Roman" w:hAnsi="Times New Roman" w:cs="Times New Roman"/>
          <w:color w:val="auto"/>
        </w:rPr>
        <w:t xml:space="preserve"> nie odpowiadał na zgłaszane wątpliwości co</w:t>
      </w:r>
      <w:r>
        <w:rPr>
          <w:rFonts w:ascii="Times New Roman" w:hAnsi="Times New Roman" w:cs="Times New Roman"/>
          <w:color w:val="auto"/>
        </w:rPr>
        <w:t> </w:t>
      </w:r>
      <w:r w:rsidRPr="00BF3406">
        <w:rPr>
          <w:rFonts w:ascii="Times New Roman" w:hAnsi="Times New Roman" w:cs="Times New Roman"/>
          <w:color w:val="auto"/>
        </w:rPr>
        <w:t>do</w:t>
      </w:r>
      <w:r>
        <w:rPr>
          <w:rFonts w:ascii="Times New Roman" w:hAnsi="Times New Roman" w:cs="Times New Roman"/>
          <w:color w:val="auto"/>
        </w:rPr>
        <w:t> </w:t>
      </w:r>
      <w:r w:rsidRPr="00BF3406">
        <w:rPr>
          <w:rFonts w:ascii="Times New Roman" w:hAnsi="Times New Roman" w:cs="Times New Roman"/>
          <w:color w:val="auto"/>
        </w:rPr>
        <w:t>poprawności wystawionych dokumentów i że obciążenie firmy notami odsetkowymi i</w:t>
      </w:r>
      <w:r>
        <w:rPr>
          <w:rFonts w:ascii="Times New Roman" w:hAnsi="Times New Roman" w:cs="Times New Roman"/>
          <w:color w:val="auto"/>
        </w:rPr>
        <w:t> </w:t>
      </w:r>
      <w:r w:rsidRPr="00BF3406">
        <w:rPr>
          <w:rFonts w:ascii="Times New Roman" w:hAnsi="Times New Roman" w:cs="Times New Roman"/>
          <w:color w:val="auto"/>
        </w:rPr>
        <w:t xml:space="preserve">rekompensatami nastąpiło mimo trwających prób wyjaśnienia sprawy. W </w:t>
      </w:r>
      <w:r>
        <w:rPr>
          <w:rFonts w:ascii="Times New Roman" w:hAnsi="Times New Roman" w:cs="Times New Roman"/>
          <w:color w:val="auto"/>
        </w:rPr>
        <w:t>J</w:t>
      </w:r>
      <w:r w:rsidRPr="00BF3406">
        <w:rPr>
          <w:rFonts w:ascii="Times New Roman" w:hAnsi="Times New Roman" w:cs="Times New Roman"/>
          <w:color w:val="auto"/>
        </w:rPr>
        <w:t xml:space="preserve">ej ocenie działania </w:t>
      </w:r>
      <w:r>
        <w:rPr>
          <w:rFonts w:ascii="Times New Roman" w:hAnsi="Times New Roman" w:cs="Times New Roman"/>
          <w:color w:val="auto"/>
        </w:rPr>
        <w:t>Zarządu Lokali Miejskich</w:t>
      </w:r>
      <w:r w:rsidRPr="00BF3406">
        <w:rPr>
          <w:rFonts w:ascii="Times New Roman" w:hAnsi="Times New Roman" w:cs="Times New Roman"/>
          <w:color w:val="auto"/>
        </w:rPr>
        <w:t xml:space="preserve"> są chaotyczne, a brak komunikacji prowadzi do powstawania zaległości finansowych po stronie najemcy.</w:t>
      </w:r>
    </w:p>
    <w:p w:rsidR="00303435" w:rsidRPr="005A59E4" w:rsidRDefault="00303435" w:rsidP="00303435">
      <w:pPr>
        <w:widowControl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35" w:rsidRPr="005A59E4" w:rsidRDefault="00303435" w:rsidP="00303435">
      <w:pPr>
        <w:widowControl/>
        <w:spacing w:after="0" w:line="276" w:lineRule="auto"/>
        <w:ind w:firstLine="540"/>
        <w:jc w:val="both"/>
      </w:pPr>
      <w:r w:rsidRPr="005A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03435" w:rsidRPr="00BF3406" w:rsidRDefault="00303435" w:rsidP="00303435">
      <w:pPr>
        <w:pStyle w:val="Default"/>
        <w:rPr>
          <w:rFonts w:ascii="Times New Roman" w:hAnsi="Times New Roman" w:cs="Times New Roman"/>
          <w:color w:val="auto"/>
        </w:rPr>
      </w:pPr>
    </w:p>
    <w:p w:rsidR="00303435" w:rsidRPr="008D3DA8" w:rsidRDefault="00303435" w:rsidP="00303435">
      <w:pPr>
        <w:pStyle w:val="Standard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Lokali Miejskich</w:t>
      </w:r>
      <w:r w:rsidRPr="00BF3406">
        <w:rPr>
          <w:rFonts w:ascii="Times New Roman" w:hAnsi="Times New Roman" w:cs="Times New Roman"/>
          <w:sz w:val="24"/>
          <w:szCs w:val="24"/>
        </w:rPr>
        <w:t xml:space="preserve"> wskazał, że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3406">
        <w:rPr>
          <w:rFonts w:ascii="Times New Roman" w:hAnsi="Times New Roman" w:cs="Times New Roman"/>
          <w:sz w:val="24"/>
          <w:szCs w:val="24"/>
        </w:rPr>
        <w:t>ajemca zgodnie z umową zobowiązany był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 xml:space="preserve">wnoszenia opłat z góry, bez oczekiwania na wezwanie. Reklamacje nie wstrzymują obowiązku płatności. W związku z rekomendacją Łódzkich Nieruchomości </w:t>
      </w:r>
      <w:r>
        <w:rPr>
          <w:rFonts w:ascii="Times New Roman" w:hAnsi="Times New Roman" w:cs="Times New Roman"/>
          <w:sz w:val="24"/>
          <w:szCs w:val="24"/>
        </w:rPr>
        <w:t xml:space="preserve">Sp. z o.o. </w:t>
      </w:r>
      <w:r w:rsidRPr="00BF34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października 2023 r., Z</w:t>
      </w:r>
      <w:r>
        <w:rPr>
          <w:rFonts w:ascii="Times New Roman" w:hAnsi="Times New Roman" w:cs="Times New Roman"/>
          <w:sz w:val="24"/>
          <w:szCs w:val="24"/>
        </w:rPr>
        <w:t>arząd Lokali Miejskich</w:t>
      </w:r>
      <w:r w:rsidRPr="00BF3406">
        <w:rPr>
          <w:rFonts w:ascii="Times New Roman" w:hAnsi="Times New Roman" w:cs="Times New Roman"/>
          <w:sz w:val="24"/>
          <w:szCs w:val="24"/>
        </w:rPr>
        <w:t xml:space="preserve"> wystawił faktury korygujące, jednak niecałkowicie znosiły one wcześniej naliczone należności, co doprowadziło do powstania zaległości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naliczenia odsetek oraz rekompensat. Ostateczna spłata zobowiązań nastąpiła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grudniu 2024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 xml:space="preserve">r. W styczniu 2025 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3406">
        <w:rPr>
          <w:rFonts w:ascii="Times New Roman" w:hAnsi="Times New Roman" w:cs="Times New Roman"/>
          <w:sz w:val="24"/>
          <w:szCs w:val="24"/>
        </w:rPr>
        <w:t>półka wystąpiła z wnioskiem o anulowanie not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 xml:space="preserve">rekompensat, jednak przeprowadzona analiza wykazała, że zaległości wynikały z błędów po stronie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3406">
        <w:rPr>
          <w:rFonts w:ascii="Times New Roman" w:hAnsi="Times New Roman" w:cs="Times New Roman"/>
          <w:sz w:val="24"/>
          <w:szCs w:val="24"/>
        </w:rPr>
        <w:t>ajemcy. Dodatkowo Z</w:t>
      </w:r>
      <w:r>
        <w:rPr>
          <w:rFonts w:ascii="Times New Roman" w:hAnsi="Times New Roman" w:cs="Times New Roman"/>
          <w:sz w:val="24"/>
          <w:szCs w:val="24"/>
        </w:rPr>
        <w:t>arząd Lokali Miejskich</w:t>
      </w:r>
      <w:r w:rsidRPr="00BF3406">
        <w:rPr>
          <w:rFonts w:ascii="Times New Roman" w:hAnsi="Times New Roman" w:cs="Times New Roman"/>
          <w:sz w:val="24"/>
          <w:szCs w:val="24"/>
        </w:rPr>
        <w:t xml:space="preserve"> zorganizował spotkanie wyjaśniające, podczas którego przedstawicielka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3406">
        <w:rPr>
          <w:rFonts w:ascii="Times New Roman" w:hAnsi="Times New Roman" w:cs="Times New Roman"/>
          <w:sz w:val="24"/>
          <w:szCs w:val="24"/>
        </w:rPr>
        <w:t>ajemcy otrzymała pełne informacje. Naliczanie rekompensat ma charakter obligatoryjny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406">
        <w:rPr>
          <w:rFonts w:ascii="Times New Roman" w:hAnsi="Times New Roman" w:cs="Times New Roman"/>
          <w:sz w:val="24"/>
          <w:szCs w:val="24"/>
        </w:rPr>
        <w:t>mocy przepisów ustawowych oraz wytycznych Skarbnika Miasta.</w:t>
      </w:r>
    </w:p>
    <w:p w:rsidR="00303435" w:rsidRPr="008D3DA8" w:rsidRDefault="00303435" w:rsidP="00303435">
      <w:pPr>
        <w:pStyle w:val="Standard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3DA8">
        <w:rPr>
          <w:rFonts w:ascii="Times New Roman" w:hAnsi="Times New Roman" w:cs="Times New Roman"/>
          <w:sz w:val="24"/>
          <w:szCs w:val="24"/>
        </w:rPr>
        <w:t xml:space="preserve"> Zarząd Lokali Miejskich działał zgodnie z przepisami prawa i obowiązującą umową najmu. Najemca został poinformowany o zasadach naliczania należności i miał możliwość osobistego wyjaśnienia sprawy. Opóźnienia w płatnościach nie wynikały z błędów </w:t>
      </w:r>
      <w:r>
        <w:rPr>
          <w:rFonts w:ascii="Times New Roman" w:hAnsi="Times New Roman" w:cs="Times New Roman"/>
          <w:sz w:val="24"/>
          <w:szCs w:val="24"/>
        </w:rPr>
        <w:t>Zarządu Lokali Miejskich</w:t>
      </w:r>
      <w:r w:rsidRPr="008D3DA8">
        <w:rPr>
          <w:rFonts w:ascii="Times New Roman" w:hAnsi="Times New Roman" w:cs="Times New Roman"/>
          <w:sz w:val="24"/>
          <w:szCs w:val="24"/>
        </w:rPr>
        <w:t>, lecz z własnych decyzji najemcy o wstrzymaniu wpłat. Obciążenia finansowe zostały naliczone zgodnie z obowiązującymi regulacjami i potwierdzone dokumentacją.</w:t>
      </w:r>
    </w:p>
    <w:p w:rsidR="00303435" w:rsidRDefault="00303435" w:rsidP="00303435">
      <w:pPr>
        <w:pStyle w:val="Standard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35" w:rsidRDefault="00303435" w:rsidP="00303435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Rada Miejska w Łodzi uznaje skargę za bezzasadną.</w:t>
      </w:r>
    </w:p>
    <w:p w:rsidR="00303435" w:rsidRDefault="00303435" w:rsidP="0030343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35" w:rsidRDefault="00303435" w:rsidP="00303435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03435" w:rsidRDefault="00303435" w:rsidP="0030343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3435" w:rsidRDefault="00303435" w:rsidP="00303435">
      <w:pPr>
        <w:pStyle w:val="Standard"/>
        <w:shd w:val="clear" w:color="auto" w:fill="FFFFFF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B0C9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35"/>
    <w:rsid w:val="001A7B09"/>
    <w:rsid w:val="00303435"/>
    <w:rsid w:val="00776C89"/>
    <w:rsid w:val="00A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B2B1-C299-49B5-938F-E1D46CC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435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3435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303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2025-05-15T06:51:00Z</dcterms:created>
  <dcterms:modified xsi:type="dcterms:W3CDTF">2025-05-15T06:51:00Z</dcterms:modified>
</cp:coreProperties>
</file>