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205CFE" w:rsidP="00E82C9C">
      <w:pPr>
        <w:ind w:left="6236" w:hanging="140"/>
        <w:jc w:val="left"/>
      </w:pPr>
      <w:r>
        <w:t xml:space="preserve">Druk Nr </w:t>
      </w:r>
      <w:r w:rsidR="00E82C9C">
        <w:t>111/2025</w:t>
      </w:r>
      <w:r>
        <w:t xml:space="preserve"> </w:t>
      </w:r>
    </w:p>
    <w:p w:rsidR="00A77B3E" w:rsidRDefault="00205CFE" w:rsidP="00E82C9C">
      <w:pPr>
        <w:ind w:left="6236" w:hanging="140"/>
        <w:jc w:val="left"/>
      </w:pPr>
      <w:r>
        <w:t>Projekt z dnia</w:t>
      </w:r>
      <w:r w:rsidR="00E82C9C">
        <w:t xml:space="preserve"> 21 maja 2025 r.</w:t>
      </w:r>
      <w:r>
        <w:t xml:space="preserve"> </w:t>
      </w:r>
    </w:p>
    <w:p w:rsidR="00A77B3E" w:rsidRDefault="00A77B3E">
      <w:pPr>
        <w:ind w:left="6236"/>
        <w:jc w:val="left"/>
      </w:pPr>
    </w:p>
    <w:p w:rsidR="00A77B3E" w:rsidRDefault="00205CFE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>
        <w:rPr>
          <w:b/>
          <w:caps/>
        </w:rPr>
        <w:br/>
        <w:t>Rady Miejskiej w Łodzi</w:t>
      </w:r>
    </w:p>
    <w:p w:rsidR="00A77B3E" w:rsidRDefault="00205CFE">
      <w:pPr>
        <w:spacing w:after="240"/>
        <w:jc w:val="center"/>
        <w:rPr>
          <w:b/>
          <w:caps/>
        </w:rPr>
      </w:pPr>
      <w:r>
        <w:rPr>
          <w:b/>
        </w:rPr>
        <w:t>z dnia .................... .... r.</w:t>
      </w:r>
    </w:p>
    <w:p w:rsidR="00A77B3E" w:rsidRDefault="00205CFE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w rejonie ulic: Szczecińskiej, Podchorążych </w:t>
      </w:r>
      <w:r>
        <w:rPr>
          <w:b/>
        </w:rPr>
        <w:t>i Złotno.</w:t>
      </w:r>
    </w:p>
    <w:p w:rsidR="00A77B3E" w:rsidRDefault="00205CFE">
      <w:pPr>
        <w:spacing w:before="120" w:after="120"/>
        <w:ind w:firstLine="567"/>
      </w:pPr>
      <w:r>
        <w:t>Na podstawie art. 18 ust. 2 pkt 5 i art. 40 ust. 1 ustawy z dnia 8 marca 1990 r. o samorządzie gminnym (Dz. U. z 2024 r. poz. 1465, 1572, 1907 i 1940) oraz art. 14 ust. 8 i art. 20 ust. 1 ustawy z dnia 27 marca 2003 r. o planowaniu i zagospodarow</w:t>
      </w:r>
      <w:r>
        <w:t>aniu przestrzennym (Dz. U. z 2024 r. poz. 1130, 1907 i 1940 oraz z 2025 r. poz. 527), w związku z art. 67 ust. 3 pkt 2 ustawy z dnia 7 lipca 2023 r. o zmianie ustawy o planowaniu i zagospodarowaniu przestrzennym oraz niektórych innych ustaw (Dz. U. poz. 16</w:t>
      </w:r>
      <w:r>
        <w:t>88, 1824 oraz z 2025 r. poz 527), Rada Miejska w Łodzi</w:t>
      </w:r>
    </w:p>
    <w:p w:rsidR="00A77B3E" w:rsidRDefault="00205CFE">
      <w:pPr>
        <w:spacing w:before="120" w:after="280"/>
        <w:jc w:val="center"/>
        <w:rPr>
          <w:b/>
        </w:rPr>
      </w:pPr>
      <w:r>
        <w:rPr>
          <w:b/>
        </w:rPr>
        <w:t>uchwala, co następuje:</w:t>
      </w:r>
    </w:p>
    <w:p w:rsidR="00A77B3E" w:rsidRDefault="00205CFE">
      <w:pPr>
        <w:keepNext/>
        <w:spacing w:before="320" w:after="32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1. 1. Przedmiotem uchwały są ustalenia miejscowego planu zagospodarowania przestrzennego dla części obszaru miasta Łodzi położonej w rejonie ulic: Sz</w:t>
      </w:r>
      <w:r>
        <w:t>czecińskiej, Podchorążych i Złotno, zwanego dalej „planem”, wraz z integralnymi jej częściami w postaci: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1:2000, stanowiącego załącznik Nr 1 do uchwały;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z</w:t>
      </w:r>
      <w:r>
        <w:rPr>
          <w:color w:val="000000"/>
          <w:u w:color="000000"/>
        </w:rPr>
        <w:t>łożonych w trakcie konsultacji społecznych, stanowiącego załącznik Nr 2 do uchwały;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 infrastruktury technicznej, które należą do zadań własnych gminy oraz zasadach ich finan</w:t>
      </w:r>
      <w:r>
        <w:rPr>
          <w:color w:val="000000"/>
          <w:u w:color="000000"/>
        </w:rPr>
        <w:t>sowania, zgodnie z przepisami o finansach publicznych, stanowiącego załącznik Nr 3 do uchwały.</w:t>
      </w:r>
    </w:p>
    <w:p w:rsidR="00A77B3E" w:rsidRDefault="00205CFE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 pkt 1.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</w:t>
      </w:r>
      <w:r>
        <w:rPr>
          <w:color w:val="000000"/>
          <w:u w:color="000000"/>
        </w:rPr>
        <w:t xml:space="preserve"> i kierunków zagospodarowania przestrzennego miasta Łodzi”, uchwalonego uchwałą Nr LXIX/1753/18 Rady Miejskiej w Łodzi z dnia 28 marca 2018 r., zmienioną uchwałami Rady Miejskiej w Łodzi Nr VI/215/19 z dnia 6 marca 2019 r. i Nr LII/1605/21 z dnia 22 grudni</w:t>
      </w:r>
      <w:r>
        <w:rPr>
          <w:color w:val="000000"/>
          <w:u w:color="000000"/>
        </w:rPr>
        <w:t>a 2021 r.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 się: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dóbr kultury współczesnej;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maksymalnej i minimalnej nadziemnej intensywności zabudowy, minimalnego udziału powierzchni biologicznie c</w:t>
      </w:r>
      <w:r>
        <w:rPr>
          <w:color w:val="000000"/>
          <w:u w:color="000000"/>
        </w:rPr>
        <w:t>zynnej, maksymalnego udziału powierzchni zabudowy, minimalnej liczby i sposobu realizacji miejsc do parkowania, w tym miejsc przeznaczonych do parkowania pojazdów zaopatrzonych w kartę parkingową oraz linii zabudowy;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granic i sposobów zagospodarowania t</w:t>
      </w:r>
      <w:r>
        <w:rPr>
          <w:color w:val="000000"/>
          <w:u w:color="000000"/>
        </w:rPr>
        <w:t xml:space="preserve">erenów lub obiektów podlegających ochronie, </w:t>
      </w:r>
      <w:r>
        <w:rPr>
          <w:color w:val="000000"/>
          <w:u w:color="000000"/>
        </w:rPr>
        <w:br/>
        <w:t xml:space="preserve">na podstawie odrębnych przepisów, terenów górniczych, obszarów szczególnego zagrożenia powodzią, obszarów osuwania się mas ziemnych, krajobrazów priorytetowych </w:t>
      </w:r>
      <w:r>
        <w:rPr>
          <w:color w:val="000000"/>
          <w:u w:color="000000"/>
        </w:rPr>
        <w:lastRenderedPageBreak/>
        <w:t xml:space="preserve">określonych w audycie krajobrazowym oraz w planach </w:t>
      </w:r>
      <w:r>
        <w:rPr>
          <w:color w:val="000000"/>
          <w:u w:color="000000"/>
        </w:rPr>
        <w:t>zagospodarowania przestrzennego województwa;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sposobu i terminu tymczasowego zagospodarowania, urządzania i użytkowania terenów.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następująco: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 włącznie;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front działki – odcinek granicy działki budowlanej przylegający do drogi publicznej lub innego ciągu komunikacyjnego, z którego odbywa się główny wjazd lub wejście na tę działkę;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infrastruktura techniczna – przewody i urządzenia oraz obiekty budowlan</w:t>
      </w:r>
      <w:r>
        <w:rPr>
          <w:color w:val="000000"/>
          <w:u w:color="000000"/>
        </w:rPr>
        <w:t>e: wodociągowe, kanalizacyjne, ciepłownicze, elektroenergetyczne, gazowe i telekomunikacyjne;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linia rozgraniczająca – wyznaczona na rysunku planu linia ciągła, stanowiąca granicę między terenami o różnym przeznaczeniu lub różnych zasadach zagospodarowan</w:t>
      </w:r>
      <w:r>
        <w:rPr>
          <w:color w:val="000000"/>
          <w:u w:color="000000"/>
        </w:rPr>
        <w:t>ia;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nadzór archeologiczny</w:t>
      </w:r>
      <w:r>
        <w:rPr>
          <w:b/>
          <w:color w:val="000000"/>
          <w:u w:color="000000"/>
        </w:rPr>
        <w:t xml:space="preserve"> – </w:t>
      </w:r>
      <w:r>
        <w:rPr>
          <w:color w:val="000000"/>
          <w:u w:color="000000"/>
        </w:rPr>
        <w:t xml:space="preserve">rodzaj badań archeologicznych polegających na obserwacji </w:t>
      </w:r>
      <w:r>
        <w:rPr>
          <w:color w:val="000000"/>
          <w:u w:color="000000"/>
        </w:rPr>
        <w:br/>
        <w:t>i analizie nawarstwień mających na celu odkrycie i rozpoznanie zabytku archeologicznego w wykopach budowlanych podczas realizacji robót ziemnych lub przy dokonywaniu z</w:t>
      </w:r>
      <w:r>
        <w:rPr>
          <w:color w:val="000000"/>
          <w:u w:color="000000"/>
        </w:rPr>
        <w:t>miany charakteru dotychczasowej działalności wiążącej się z naruszeniem struktury gruntu;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 obowiązującego na obszarze mi</w:t>
      </w:r>
      <w:r>
        <w:rPr>
          <w:color w:val="000000"/>
          <w:u w:color="000000"/>
        </w:rPr>
        <w:t>asta Łodzi;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</w:t>
      </w:r>
      <w:r>
        <w:rPr>
          <w:color w:val="000000"/>
          <w:u w:color="000000"/>
        </w:rPr>
        <w:t>j działce, przy czym wymóg ten nie obowiązuje w przypadku realizacji dróg wewnętrznych, infrastruktury technicznej i wód powierzchniowych,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 danej działce, a w przypa</w:t>
      </w:r>
      <w:r>
        <w:rPr>
          <w:color w:val="000000"/>
          <w:u w:color="000000"/>
        </w:rPr>
        <w:t>dku dróg wewnętrznych, infrastruktury technicznej i wód powierzchniowych – przeznaczenie, które uzupełnia przeznaczenie podstawowe w danym terenie;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strefa ochrony archeologicznej – rodzaj strefy konserwatorskiej obejmującej obszar,</w:t>
      </w:r>
      <w:r>
        <w:rPr>
          <w:color w:val="000000"/>
          <w:u w:color="000000"/>
        </w:rPr>
        <w:br/>
        <w:t xml:space="preserve">na którym </w:t>
      </w:r>
      <w:r>
        <w:rPr>
          <w:color w:val="000000"/>
          <w:u w:color="000000"/>
        </w:rPr>
        <w:t>zlokalizowane są zabytki archeologiczne lub istnieje uzasadnione podejrzenie,</w:t>
      </w:r>
      <w:r>
        <w:rPr>
          <w:color w:val="000000"/>
          <w:u w:color="000000"/>
        </w:rPr>
        <w:br/>
        <w:t>że mogą się one na nim znajdować;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uchwała – niniejsza uchwała Rady</w:t>
      </w:r>
      <w:r>
        <w:rPr>
          <w:color w:val="000000"/>
          <w:u w:color="000000"/>
        </w:rPr>
        <w:t xml:space="preserve"> Miejskiej w Łodzi;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ustawa – ustawa z dnia 27 marca 2003 r. o planowaniu i zagospodarowaniu przestrzennym, o ile z treści planu nie wynika inaczej;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zabudowa istniejąca – budynek istniejący w dniu wejścia w życie planu, a także budynek posiadający w</w:t>
      </w:r>
      <w:r>
        <w:rPr>
          <w:color w:val="000000"/>
          <w:u w:color="000000"/>
        </w:rPr>
        <w:t> tej dacie prawo do realizacji na podstawie ostatecznej decyzji o pozwoleniu na budowę lub zgłoszenia, o którym mowa w przepisach odrębnych z zakresu prawa budowlanego.</w:t>
      </w:r>
    </w:p>
    <w:p w:rsidR="00A77B3E" w:rsidRDefault="00205CFE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</w:t>
      </w:r>
      <w:r>
        <w:rPr>
          <w:color w:val="000000"/>
          <w:u w:color="000000"/>
        </w:rPr>
        <w:t>anych ustawą lub przepisami odrębnymi przywołanymi w treści uchwały, należy rozumieć w sposób określony w ustawie lub w tych przepisach, a w przypadku braku definicji – w rozumieniu powszechnym.</w:t>
      </w:r>
    </w:p>
    <w:p w:rsidR="00A77B3E" w:rsidRDefault="00205CFE">
      <w:pPr>
        <w:keepNext/>
        <w:spacing w:before="320" w:after="32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w zakresie kształtowania standardów zagospodarowania i użytkowania terenów – zachowanie i ochrona terenów zieleni stanowiących system przyrodniczy miasta Łodzi pełniący rolę rekr</w:t>
      </w:r>
      <w:r>
        <w:rPr>
          <w:color w:val="000000"/>
          <w:u w:color="000000"/>
        </w:rPr>
        <w:t>eacyjno-wypoczynkową i klimatyczno-biologiczną w tym zapewnienie ciągłości korytarza ekologicznego, jakim jest dolina cieku – dopływu rzeki Jasieniec;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lokalizacji zabudowy – zakaz lokalizacji budynków;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wysokości zabudowy – maksi</w:t>
      </w:r>
      <w:r>
        <w:rPr>
          <w:color w:val="000000"/>
          <w:u w:color="000000"/>
        </w:rPr>
        <w:t>mum 30 m, o ile w ustaleniach szczegółowych nie ustalono inaczej;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przeznaczenia terenów – zakaz lokalizacji punktów zbierania i przetwarzania odpadów, w tym złomu.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wymagania wynikające z potrzeb kształtowania przes</w:t>
      </w:r>
      <w:r>
        <w:rPr>
          <w:color w:val="000000"/>
          <w:u w:color="000000"/>
        </w:rPr>
        <w:t>trzeni publicznych, do których należy teren komunikacji drogowej publicznej 1KDD – nakaz dostosowania przestrzeni publicznych do potrzeb osób ze szczególnymi potrzebami.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 zasa</w:t>
      </w:r>
      <w:r>
        <w:rPr>
          <w:color w:val="000000"/>
          <w:u w:color="000000"/>
        </w:rPr>
        <w:t>dy kształtowania krajobrazu: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znacząco oddziaływać na środowisko,</w:t>
      </w:r>
      <w:r>
        <w:rPr>
          <w:color w:val="000000"/>
          <w:u w:color="000000"/>
        </w:rPr>
        <w:br/>
        <w:t>za wyjątkiem: dróg, zalesień, inwestycji z zakresu infrastruktury technicznej, melioracji, obiektów mostowych oraz urządzeń wodnych;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mikroinstalacji, o których mowa w przepisach odrębnych z zakresu odnawialnych źródeł energii;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i kształtowania krajobrazu: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zapewnienia ciągłości korytarza ekologicznego, wskazanego na rysunku planu w z</w:t>
      </w:r>
      <w:r>
        <w:rPr>
          <w:color w:val="000000"/>
          <w:u w:color="000000"/>
        </w:rPr>
        <w:t>akresie swobodnego przepływu mas powietrza oraz migracji roślin i zwierząt,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likwidowania i niszczenia zadrzewień nadwodnych z wyjątkiem działań wynikających z potrzeby zapewnienia przepływu wód powierzchniowych, a także budowy, odbudowy, utrzymani</w:t>
      </w:r>
      <w:r>
        <w:rPr>
          <w:color w:val="000000"/>
          <w:u w:color="000000"/>
        </w:rPr>
        <w:t>a i remontów lub napraw urządzeń wodnych oraz prawidłowego funkcjonowania istniejącej infrastruktury technicznej;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wód – zakaz: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stosowania rozwiązań technicznych stwarzających możliwość zanieczyszczenia wód,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dokonywania zmian sto</w:t>
      </w:r>
      <w:r>
        <w:rPr>
          <w:color w:val="000000"/>
          <w:u w:color="000000"/>
        </w:rPr>
        <w:t>sunków wodnych, jeżeli zmiany te nie wynikają z działań</w:t>
      </w:r>
      <w:r>
        <w:rPr>
          <w:color w:val="000000"/>
          <w:u w:color="000000"/>
        </w:rPr>
        <w:br/>
        <w:t>na rzecz ochrony przyrody albo racjonalnej gospodarki wodnej,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wykonywania robót polegających na zasypywaniu i likwidacji cieków, stawów oraz rowów melioracyjnych, spełniających rolę odbiorników wód</w:t>
      </w:r>
      <w:r>
        <w:rPr>
          <w:color w:val="000000"/>
          <w:u w:color="000000"/>
        </w:rPr>
        <w:t xml:space="preserve"> powierzchniowych, z dopuszczeniem ich przebudowy i rozbudowy spowodowanej realizacją inwestycji celu publicznego;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gospodarki wodnej i odprowadzania ścieków – nakaz stosowania kompleksowych rozwiązań poprzez: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wykorzystanie lub retencjonowa</w:t>
      </w:r>
      <w:r>
        <w:rPr>
          <w:color w:val="000000"/>
          <w:u w:color="000000"/>
        </w:rPr>
        <w:t>nie wód opadowych i roztopowych w miejscu ich powstania, z dopuszczeniem odprowadzenia ich do odbiornika na warunkach określonych w przepisach odrębnych dotyczących zbiorowego zaopatrzenia w wodę i zbiorowego odprowadzenia ścieków oraz prawa wodnego, a tak</w:t>
      </w:r>
      <w:r>
        <w:rPr>
          <w:color w:val="000000"/>
          <w:u w:color="000000"/>
        </w:rPr>
        <w:t>że budownictwa,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technicznej odbioru wód opadowych i roztopowych dla terenów komunikacji;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powierzchni ziemi oraz gospodarki odpadami: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zapewnienia dla nieruchomości miejsca służącego do cza</w:t>
      </w:r>
      <w:r>
        <w:rPr>
          <w:color w:val="000000"/>
          <w:u w:color="000000"/>
        </w:rPr>
        <w:t>sowego gromadzenia odpadów stałych, z uwzględnieniem wymogów wynikających z przepisów odrębnych dotyczących budownictwa oraz utrzymania czystości i porządku w gminie,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dokonywania zmian ukształtowania terenu, które powodowałyby zmianę rzędnej wysok</w:t>
      </w:r>
      <w:r>
        <w:rPr>
          <w:color w:val="000000"/>
          <w:u w:color="000000"/>
        </w:rPr>
        <w:t xml:space="preserve">ościowej terenu o więcej niż 0,5 m w stosunku do rodzimego gruntu w granicach korytarza ekologicznego oznaczonego na rysunku planu, za wyjątkiem niwelacji </w:t>
      </w:r>
      <w:r>
        <w:rPr>
          <w:color w:val="000000"/>
          <w:u w:color="000000"/>
        </w:rPr>
        <w:lastRenderedPageBreak/>
        <w:t>niezbędnych do realizacji inwestycji z zakresu: infrastruktury technicznej, dróg, obiektów mostowych,</w:t>
      </w:r>
      <w:r>
        <w:rPr>
          <w:color w:val="000000"/>
          <w:u w:color="000000"/>
        </w:rPr>
        <w:t xml:space="preserve"> urządzeń wodnych oraz rekultywacji;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powietrza – zakaz stosowania indywidualnych źródeł zaopatrzenia w ciepło powodujących emisję substancji przekraczającą dopuszczalne normy;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w zakresie ochrony przed polami elektromagnetycznymi – </w:t>
      </w:r>
      <w:r>
        <w:rPr>
          <w:color w:val="000000"/>
          <w:u w:color="000000"/>
        </w:rPr>
        <w:t>zakaz lokalizacji infrastruktury technicznej powodującej przekroczenie dopuszczalnych poziomów pól elektromagnetycznych w środowisku, określonych w przepisach odrębnych z zakresu ochrony środowiska, w budynkach z pomieszczeniami przeznaczonymi na pobyt lud</w:t>
      </w:r>
      <w:r>
        <w:rPr>
          <w:color w:val="000000"/>
          <w:u w:color="000000"/>
        </w:rPr>
        <w:t>zi, w rozumieniu przepisów odrębnych dotyczących budownictwa;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ochrony przed hałasem – istniejącą zabudowę mieszkaniową jednorodzinną zalicza się do terenów chronionych akustycznie określonych jako „tereny zabudowy mieszkaniowej jednorodzinnej</w:t>
      </w:r>
      <w:r>
        <w:rPr>
          <w:color w:val="000000"/>
          <w:u w:color="000000"/>
        </w:rPr>
        <w:t>”, w rozumieniu przepisów odrębnych dotyczących ochrony środowiska.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następujące zasady ochrony dziedzictwa kulturowego i zabytków, w tym krajobrazów kulturowych: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wskazuje się zabytki archeologiczne o numerach: AZP 66-50/61, AZP 66-50/62 </w:t>
      </w:r>
      <w:r>
        <w:rPr>
          <w:color w:val="000000"/>
          <w:u w:color="000000"/>
        </w:rPr>
        <w:t>i AZP 66-50/63 oznaczone na rysunku planu, dla których przy realizacji robót ziemnych lub dokonywaniu zmiany charakteru dotychczasowej działalności wiążącej się z naruszeniem struktury gruntu wymagane jest przeprowadzenie badań archeologicznych, zgodnie z </w:t>
      </w:r>
      <w:r>
        <w:rPr>
          <w:color w:val="000000"/>
          <w:u w:color="000000"/>
        </w:rPr>
        <w:t>przepisami odrębnymi z zakresu ochrony zabytków;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wprowadza się strefę ochrony archeologicznej, oznaczoną na rysunku planu, w której przy realizacji robót ziemnych lub dokonywaniu zmiany charakteru dotychczasowej działalności wiążącej się z naruszeniem s</w:t>
      </w:r>
      <w:r>
        <w:rPr>
          <w:color w:val="000000"/>
          <w:u w:color="000000"/>
        </w:rPr>
        <w:t>truktury gruntu nakazuje się prowadzenie badań archeologicznych w formie nadzoru archeologicznego na zasadach określonych w przepisach odrębnych z zakresu ochrony zabytków.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9. 1. </w:t>
      </w:r>
      <w:r>
        <w:rPr>
          <w:color w:val="000000"/>
          <w:u w:color="000000"/>
        </w:rPr>
        <w:t>Ustala się następujące zasady i warunki scalania i podziału nieruchomości: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przeprowadzenia scaleń i podziałów nieruchomości;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dokonywanego</w:t>
      </w:r>
      <w:r>
        <w:rPr>
          <w:color w:val="000000"/>
          <w:u w:color="000000"/>
        </w:rPr>
        <w:br/>
        <w:t>na wniosek określono w ustaleniach szczegółowych w rozdziale 3.</w:t>
      </w:r>
    </w:p>
    <w:p w:rsidR="00A77B3E" w:rsidRDefault="00205CFE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działek powstałych w wyniku scalania i podziału nieruchomości, określone w ustaleniach szczegółowych w rozdziale 3, nie obowiązują dla działek gruntu wydzielonych pod drogi wewnętrzne oraz infrastrukturę techniczną.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szczególne</w:t>
      </w:r>
      <w:r>
        <w:rPr>
          <w:color w:val="000000"/>
          <w:u w:color="000000"/>
        </w:rPr>
        <w:t xml:space="preserve"> warunki zagospodarowania terenów oraz ograniczenia w ich użytkowaniu: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szczególne warunki zagospodarowania oraz ograniczenia w użytkowaniu wskazanych</w:t>
      </w:r>
      <w:r>
        <w:rPr>
          <w:color w:val="000000"/>
          <w:u w:color="000000"/>
        </w:rPr>
        <w:br/>
        <w:t>na rysunku planu stref kontrolowanych od gazociągów określają przepisy odrębne dotyczące lokalizacji si</w:t>
      </w:r>
      <w:r>
        <w:rPr>
          <w:color w:val="000000"/>
          <w:u w:color="000000"/>
        </w:rPr>
        <w:t>eci gazowych;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 1, ustalenia dotyczące stref kontrolowanych nie obowiązują;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wynikające z przepisów odrębnych dotyczących lotnictwa – na obszarze oznaczonym</w:t>
      </w:r>
      <w:r>
        <w:rPr>
          <w:color w:val="000000"/>
          <w:u w:color="000000"/>
        </w:rPr>
        <w:br/>
        <w:t>na rysunku planu jako strefa od lotni</w:t>
      </w:r>
      <w:r>
        <w:rPr>
          <w:color w:val="000000"/>
          <w:u w:color="000000"/>
        </w:rPr>
        <w:t>ska, zakaz budowy lub rozbudowy obiektów budowlanych sprzyjających występowaniu zwierząt stwarzających zagrożenie dla ruchu statków powietrznych.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układ komunikacy</w:t>
      </w:r>
      <w:r>
        <w:rPr>
          <w:color w:val="000000"/>
          <w:u w:color="000000"/>
        </w:rPr>
        <w:t>jny służący obsłudze ruchu z terenów przyległych stanowią: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teren drogi dojazdowej 1KDD (ul. Huta Jagodnica),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drogi wewnętrzne niewyznaczone na rysunku planu,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drogi zlokalizowane poza granicą obszaru objętego planem;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połączenie układu komunikacy</w:t>
      </w:r>
      <w:r>
        <w:rPr>
          <w:color w:val="000000"/>
          <w:u w:color="000000"/>
        </w:rPr>
        <w:t>jnego obszaru objętego planem z zewnętrznym układem komunikacyjnym zapewniają: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 1KDD (ul. Huta Jagodnica),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drogi zlokalizowane poza granicą obszaru objętego planem.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 xml:space="preserve">Ustala się następujące zasady modernizacji, rozbudowy </w:t>
      </w:r>
      <w:r>
        <w:rPr>
          <w:color w:val="000000"/>
          <w:u w:color="000000"/>
        </w:rPr>
        <w:t>i budowy systemów infrastruktury technicznej: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 przebudowę i rozbudowę, a także budowę nowych systemów;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i rozbudowywanej infrastruktury technicz</w:t>
      </w:r>
      <w:r>
        <w:rPr>
          <w:color w:val="000000"/>
          <w:u w:color="000000"/>
        </w:rPr>
        <w:t>nej jako podziemnej, z wyłączeniem: napowietrznych linii elektroenergetycznych o napięciu 110kV lub wyższym, stacji transformatorowych oraz elementów infrastruktury technicznej, które jedynie jako nadziemne mogą pełnić swoją funkcję.</w:t>
      </w:r>
    </w:p>
    <w:p w:rsidR="00A77B3E" w:rsidRDefault="00205CFE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</w:t>
      </w:r>
      <w:r>
        <w:rPr>
          <w:color w:val="000000"/>
          <w:u w:color="000000"/>
        </w:rPr>
        <w:t xml:space="preserve"> powiązań infrastruktury technicznej na obszarze planu z układem zewnętrznym: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‒ magistrala wodociągowa „Polesie 16”;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‒ Kolektor V;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podstawowy odbiornik wód opadowych i roztopowych </w:t>
      </w:r>
      <w:r>
        <w:rPr>
          <w:color w:val="000000"/>
          <w:u w:color="000000"/>
        </w:rPr>
        <w:t>‒ rzeka Jasieniec;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źródło zaopatrzenia w gaz ‒ gazociąg średniego ciśnienia Dn 200 zlokalizowany w ul. Huta Jagodnica;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 ‒ Rejonowy Punkt Zasilania Koziny 110/15 kV.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 xml:space="preserve">Ustala się </w:t>
      </w:r>
      <w:r>
        <w:rPr>
          <w:color w:val="000000"/>
          <w:u w:color="000000"/>
        </w:rPr>
        <w:t>wysokość stawki procentowej służącej określeniu opłaty, o której mowa w art. 36 ust. 4 ustawy dla wszystkich terenów 30%.</w:t>
      </w:r>
    </w:p>
    <w:p w:rsidR="00A77B3E" w:rsidRDefault="00205CFE">
      <w:pPr>
        <w:keepNext/>
        <w:keepLines/>
        <w:spacing w:before="320" w:after="32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14. 1. </w:t>
      </w:r>
      <w:r>
        <w:rPr>
          <w:color w:val="000000"/>
          <w:u w:color="000000"/>
        </w:rPr>
        <w:t>Dla terenów 1RN-ZN i 2RN-ZN obowiązują ustalenia zawarte w kolejnych ustępach niniejszego pa</w:t>
      </w:r>
      <w:r>
        <w:rPr>
          <w:color w:val="000000"/>
          <w:u w:color="000000"/>
        </w:rPr>
        <w:t>ragrafu.</w:t>
      </w:r>
    </w:p>
    <w:p w:rsidR="00A77B3E" w:rsidRDefault="00205CFE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rolnictwa z zakazem zabudowy lub zieleni naturalnej;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teren infrastruktury technicznej </w:t>
      </w:r>
      <w:r>
        <w:rPr>
          <w:color w:val="000000"/>
          <w:u w:color="000000"/>
        </w:rPr>
        <w:t>– z wykluczeniem terenów: magazynu gazu, obsługi produktów naftowych i gospodarowania odpadami,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:rsidR="00A77B3E" w:rsidRDefault="00205CFE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</w:t>
      </w:r>
      <w:r>
        <w:rPr>
          <w:color w:val="000000"/>
          <w:u w:color="000000"/>
        </w:rPr>
        <w:t>estrzennego ustala się zakaz zalesień w granicach korytarza ekologicznego oznaczonego na rysunku planu.</w:t>
      </w:r>
    </w:p>
    <w:p w:rsidR="00A77B3E" w:rsidRDefault="00205CFE">
      <w:pPr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dla zabudowy istniejącej ustala się dopuszczenie: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remontu i przebudowy;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rozbudowy i nadb</w:t>
      </w:r>
      <w:r>
        <w:rPr>
          <w:color w:val="000000"/>
          <w:u w:color="000000"/>
        </w:rPr>
        <w:t>udowy istniejącej zabudowy mieszkaniowej jednorodzinnej</w:t>
      </w:r>
      <w:r>
        <w:rPr>
          <w:color w:val="000000"/>
          <w:u w:color="000000"/>
        </w:rPr>
        <w:br/>
        <w:t>na następujących warunkach: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:rsidR="00A77B3E" w:rsidRDefault="00205CFE">
      <w:pPr>
        <w:keepLines/>
        <w:ind w:left="680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 xml:space="preserve"> 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205CFE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gospodarczych i garaży – łącznie maksimum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:rsidR="00A77B3E" w:rsidRDefault="00205CFE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</w:t>
      </w:r>
      <w:r>
        <w:rPr>
          <w:color w:val="000000"/>
          <w:u w:color="000000"/>
        </w:rPr>
        <w:t>nych – maksimum 10,5 m,</w:t>
      </w:r>
    </w:p>
    <w:p w:rsidR="00A77B3E" w:rsidRDefault="00205CFE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4,5 m,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dachy: płaskie, dwu lub wielospadowe, o jednakowym kącie nachylenia połaci dachowych do 45º;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rozbudowy i nadbudowy istniejącej zabudowy zagrodowej na następujących warunkach: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:rsidR="00A77B3E" w:rsidRDefault="00205CFE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205CFE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gospodarczych, inwentarskich i garaży – łącznie maksimum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:rsidR="00A77B3E" w:rsidRDefault="00205CFE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:rsidR="00A77B3E" w:rsidRDefault="00205CFE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gospodarczych, inwentarskich </w:t>
      </w:r>
      <w:r>
        <w:rPr>
          <w:color w:val="000000"/>
          <w:u w:color="000000"/>
        </w:rPr>
        <w:t>i garaży – maksimum 8,0 m,</w:t>
      </w:r>
    </w:p>
    <w:p w:rsidR="00A77B3E" w:rsidRDefault="00205CFE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dachy: płaskie, dwu lub wielospadowe o jednakowym kącie nachylenia połaci dachowych do 45º;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dopuszczenie, o którym mowa w pkt 2 i 3, nie dotyczy budynków oraz części budynków położonych w granicach korytarza ekologicznego </w:t>
      </w:r>
      <w:r>
        <w:rPr>
          <w:color w:val="000000"/>
          <w:u w:color="000000"/>
        </w:rPr>
        <w:t>oznaczonego na rysunku planu.</w:t>
      </w:r>
    </w:p>
    <w:p w:rsidR="00A77B3E" w:rsidRDefault="00205CFE">
      <w:pPr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powierzchnię działki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minimalną szerokość frontu działki ‒ 50 m;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</w:t>
      </w:r>
      <w:r>
        <w:rPr>
          <w:color w:val="000000"/>
          <w:u w:color="000000"/>
        </w:rPr>
        <w:t>o pasa drogowego ‒ od 70º do 90º.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Dla terenu 1KDD (ul. Huta Jagodnica) obowiązują ustalenia zawarte w kolejnych ustępach niniejszego paragrafu.</w:t>
      </w:r>
    </w:p>
    <w:p w:rsidR="00A77B3E" w:rsidRDefault="00205CFE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drogi dojazdowej;</w:t>
      </w:r>
    </w:p>
    <w:p w:rsidR="00A77B3E" w:rsidRDefault="00205CFE">
      <w:pPr>
        <w:ind w:left="227" w:hanging="283"/>
        <w:rPr>
          <w:color w:val="000000"/>
          <w:u w:color="000000"/>
        </w:rPr>
      </w:pPr>
      <w:r>
        <w:t>2)</w:t>
      </w:r>
      <w:r>
        <w:t> </w:t>
      </w:r>
      <w:r>
        <w:rPr>
          <w:color w:val="000000"/>
          <w:u w:color="000000"/>
        </w:rPr>
        <w:t>przeznaczenie uzupełniające ‒ teren infrastruktury technicznej ‒ z wykluczeniem terenów: magazynu gazu, obsługi produktów naftowych i gospodarowania odpadami.</w:t>
      </w:r>
    </w:p>
    <w:p w:rsidR="00A77B3E" w:rsidRDefault="00205CFE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 szerokość w liniach roz</w:t>
      </w:r>
      <w:r>
        <w:rPr>
          <w:color w:val="000000"/>
          <w:u w:color="000000"/>
        </w:rPr>
        <w:t>graniczających zmienną od 3,0 m do 4,3 m, zgodnie z rysunkiem planu.</w:t>
      </w:r>
    </w:p>
    <w:p w:rsidR="00A77B3E" w:rsidRDefault="00205CFE">
      <w:pPr>
        <w:keepNext/>
        <w:spacing w:before="320" w:after="32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:rsidR="00A77B3E" w:rsidRDefault="00205CFE">
      <w:pPr>
        <w:keepLines/>
        <w:spacing w:before="240"/>
        <w:ind w:firstLine="567"/>
        <w:rPr>
          <w:color w:val="000000"/>
          <w:u w:color="000000"/>
        </w:rPr>
      </w:pPr>
      <w:r>
        <w:t>§ 17. </w:t>
      </w:r>
      <w:r>
        <w:rPr>
          <w:color w:val="000000"/>
          <w:u w:color="000000"/>
        </w:rPr>
        <w:t>Wykon</w:t>
      </w:r>
      <w:r>
        <w:rPr>
          <w:color w:val="000000"/>
          <w:u w:color="000000"/>
        </w:rPr>
        <w:t>anie uchwały powierza się Prezydentowi Miasta Łodzi.</w:t>
      </w:r>
    </w:p>
    <w:p w:rsidR="00A77B3E" w:rsidRDefault="00205CFE">
      <w:pPr>
        <w:keepNext/>
        <w:keepLines/>
        <w:spacing w:before="240"/>
        <w:ind w:firstLine="567"/>
        <w:rPr>
          <w:color w:val="000000"/>
          <w:u w:color="000000"/>
        </w:rPr>
      </w:pPr>
      <w:r>
        <w:lastRenderedPageBreak/>
        <w:t>§ 18.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:rsidR="00A77B3E" w:rsidRDefault="00205CFE">
      <w:pPr>
        <w:keepNext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:rsidR="00A77B3E" w:rsidRDefault="00205CFE">
      <w:pPr>
        <w:keepNext/>
        <w:keepLines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   </w:t>
      </w:r>
    </w:p>
    <w:p w:rsidR="00A77B3E" w:rsidRDefault="00205CF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36"/>
        <w:gridCol w:w="4536"/>
      </w:tblGrid>
      <w:tr w:rsidR="00F60E7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E7E" w:rsidRDefault="00F60E7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E7E" w:rsidRDefault="00205CFE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 DOMASZEWICZ</w:t>
            </w:r>
          </w:p>
        </w:tc>
      </w:tr>
    </w:tbl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Projektodawcą </w:t>
      </w:r>
      <w:r>
        <w:rPr>
          <w:color w:val="000000"/>
          <w:u w:color="000000"/>
        </w:rPr>
        <w:t>jest</w:t>
      </w:r>
    </w:p>
    <w:p w:rsidR="004056A7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A77B3E" w:rsidRDefault="004056A7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</w:p>
    <w:p w:rsidR="00A77B3E" w:rsidRDefault="00205CFE">
      <w:pPr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r.</w:t>
      </w:r>
    </w:p>
    <w:p w:rsidR="00A77B3E" w:rsidRDefault="00205CFE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961131" cy="421005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050" cy="421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205CFE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8573" cy="8141183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3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205CFE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8573" cy="8141183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3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205CFE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8573" cy="8141183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3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205CFE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8573" cy="8141183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3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205CFE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8573" cy="8141183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3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205CFE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8573" cy="8141183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3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00"/>
        <w:jc w:val="center"/>
        <w:rPr>
          <w:color w:val="000000"/>
          <w:u w:color="000000"/>
        </w:rPr>
      </w:pPr>
    </w:p>
    <w:p w:rsidR="00A77B3E" w:rsidRDefault="00205CFE">
      <w:pPr>
        <w:keepNext/>
        <w:spacing w:before="320" w:after="320"/>
        <w:ind w:left="5286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lastRenderedPageBreak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r.</w:t>
      </w:r>
    </w:p>
    <w:p w:rsidR="00A77B3E" w:rsidRDefault="00205CFE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planu złożonych w trakcie </w:t>
      </w:r>
      <w:r>
        <w:rPr>
          <w:b/>
          <w:color w:val="000000"/>
          <w:u w:color="000000"/>
        </w:rPr>
        <w:t>konsultacji społecznych.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ulic: Szczecińskiej, Podchorążych i Złotno został poddany konsultacjom społecznym w okresie od 25 lutego 2025 r. do 25 ma</w:t>
      </w:r>
      <w:r>
        <w:rPr>
          <w:color w:val="000000"/>
          <w:u w:color="000000"/>
        </w:rPr>
        <w:t>rca 2025 r.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 wyznaczonym terminie składania uwag, tj. od 25 lutego 2025 r. do 25 marca 2025 r., wpłynęło 9 uwag. Złożone uwagi zostały ponumerowane w celu ułatwienia ich identyfikacji.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Uwagi nr: 1, 6, 7, 8 i 9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−wpłynęły dnia: 23 marca 2025 r. (uwaga nr 1)</w:t>
      </w:r>
      <w:r>
        <w:rPr>
          <w:color w:val="000000"/>
          <w:u w:color="000000"/>
        </w:rPr>
        <w:t>, 24 marca 2025 r. (uwagi nr: 6, 7, 8 i 9),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−dotyczą działek nr: 501, 502, 503, 504, 505, 506 i 507, obr. P-40.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 nr 1: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„- w marcu 2022 r. złożyliśmy wnioski o uzyskanie warunków zabudowy na działki 501, 502, 503, 504, 505, 506 oraz 507w obrębie </w:t>
      </w:r>
      <w:r>
        <w:rPr>
          <w:color w:val="000000"/>
          <w:u w:color="000000"/>
        </w:rPr>
        <w:t>P-40, wnioski zostały zawieszone i po około roku czasu skierowane do SKO, od tego momentu do chwili obecnej ciągnie się sprawa wydania WZ – celowe działania?,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działki podzielone (o powierzchni 3000 m2) z myślą o zabudowie jednorodzinnej (nie szeregowej c</w:t>
      </w:r>
      <w:r>
        <w:rPr>
          <w:color w:val="000000"/>
          <w:u w:color="000000"/>
        </w:rPr>
        <w:t>zy bliźniaczej) co nie wpłynie na zaburzenie istniejącej flory i fauny,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planowana powierzchnia zabudowy działek – domy max 150 m2,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teren przeznaczony pod zabudowę w znacznym stopniu jest już zurbanizowany – istniejąca utwardzona droga dojazdowa, media,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istniejące przepusty w drodze ze względu na przebiegający ciek wodny,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brak zainteresowania ze strony rolników co do uprawy tych terenów ze względu na sporą aktywność dzikich zwierząt, które niszczą doszczętnie uprawy,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w związku z pozytywną decyzją s</w:t>
      </w:r>
      <w:r>
        <w:rPr>
          <w:color w:val="000000"/>
          <w:u w:color="000000"/>
        </w:rPr>
        <w:t>ądu odnośnie przyznania WZ na w/w działki czekamy</w:t>
      </w:r>
      <w:r>
        <w:rPr>
          <w:color w:val="000000"/>
          <w:u w:color="000000"/>
        </w:rPr>
        <w:br/>
        <w:t>na wydanie stosownych dokumentów przez UMŁ abyśmy mogli rozpocząć procedurę uzyskania pozwoleń na budowę.”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 nr 6, 7 i 8: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„- w związku z pozytywną decyzją sądu odnośnie przyznania wz na w/w działki</w:t>
      </w:r>
      <w:r>
        <w:rPr>
          <w:color w:val="000000"/>
          <w:u w:color="000000"/>
        </w:rPr>
        <w:t xml:space="preserve"> czekamy</w:t>
      </w:r>
      <w:r>
        <w:rPr>
          <w:color w:val="000000"/>
          <w:u w:color="000000"/>
        </w:rPr>
        <w:br/>
        <w:t>na wydanie stosownych dokumentów przez UMŁ w celu rozpoczęcia procedury odnośnie pozwoleń na budowę,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istnieją przepusty w drodze ze względu na ciek wodny,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brak zainteresowania rolników uprawą tych terenów,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- w marcu 2022 r. złożyliśmy wnioski </w:t>
      </w:r>
      <w:r>
        <w:rPr>
          <w:color w:val="000000"/>
          <w:u w:color="000000"/>
        </w:rPr>
        <w:t>o uzyskanie warunków zabudowy na działki 501, 502, 503, 504, 505, 506 oraz 507w obrębie P-40, wnioski zostały zawieszone i po około roku skierowane do SKO, od tego momentu do chwili obecnej ciągnie się sprawa wydania wz,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- działki o powierzchni 3000 m2 są </w:t>
      </w:r>
      <w:r>
        <w:rPr>
          <w:color w:val="000000"/>
          <w:u w:color="000000"/>
        </w:rPr>
        <w:t>podzielone z myślą o zabudowie jednorodzinnej (nie szeregowej czy bliźniaczej) co nie wpłynie na zaburzenie istniejącej flory i fauny,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planowana powierzchnia zabudowy – domy ok. 180 m2,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- teren jest zurbanizowany – istniejąca utwardzona droga dojazdowa, </w:t>
      </w:r>
      <w:r>
        <w:rPr>
          <w:color w:val="000000"/>
          <w:u w:color="000000"/>
        </w:rPr>
        <w:t>media.”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Treść uwagi nr 9: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„- w marcu 2022 r. zostały złożone wnioski o uzyskanie warunków zabudowy na działki 501, 502, 503, 504, 505, 506 oraz 507w obrębie P-40, wnioski te zostały zawieszone i po 12 miesiącach skierowane do SKO, do chwili obecnej nie otr</w:t>
      </w:r>
      <w:r>
        <w:rPr>
          <w:color w:val="000000"/>
          <w:u w:color="000000"/>
        </w:rPr>
        <w:t>zymaliśmy finalnej decyzji w sprawie wydania WZ,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działki zostały podzielone tak, aby ich powierzchnia wyniosła 3000 m2) z myślą o zabudowie jednorodzinnej i braku ich wypływu na istniejącą florę i faunę,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- planowana powierzchnia zabudowy działek – domy </w:t>
      </w:r>
      <w:r>
        <w:rPr>
          <w:color w:val="000000"/>
          <w:u w:color="000000"/>
        </w:rPr>
        <w:t>max 150 m2,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teren przeznaczony pod zabudowę jest już zurbanizowany w znacznym stopniu (utwardzona droga dojazdowa, media),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istnieją przepusty w drodze ze względu na przebiegający ciek wodny,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w związku z pozytywną decyzją sądu odnośnie przyznania WZ n</w:t>
      </w:r>
      <w:r>
        <w:rPr>
          <w:color w:val="000000"/>
          <w:u w:color="000000"/>
        </w:rPr>
        <w:t>a w/w działki czekamy</w:t>
      </w:r>
      <w:r>
        <w:rPr>
          <w:color w:val="000000"/>
          <w:u w:color="000000"/>
        </w:rPr>
        <w:br/>
        <w:t>na wydanie stosownych dokumentów przez UMŁ umożliwiającym rozpoczęcie działań związanych z uzyskaniem pozwoleń na budowę.”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Uza</w:t>
      </w:r>
      <w:r>
        <w:rPr>
          <w:b/>
          <w:color w:val="000000"/>
          <w:u w:color="000000"/>
        </w:rPr>
        <w:t xml:space="preserve">sadnienie: 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Zgodnie z art. 15 ust. 1 ustawy z dnia 27 marca 2003 r. o planowaniu i zagospodarowaniu przestrzennym w związku z art. 67 ust. 3 pkt 2 ustawy z dnia 7 lipca 2023 r. o zmianie ustawy</w:t>
      </w:r>
      <w:r>
        <w:rPr>
          <w:color w:val="000000"/>
          <w:u w:color="000000"/>
        </w:rPr>
        <w:br/>
        <w:t xml:space="preserve">o planowaniu i zagospodarowaniu przestrzennym oraz niektórych </w:t>
      </w:r>
      <w:r>
        <w:rPr>
          <w:color w:val="000000"/>
          <w:u w:color="000000"/>
        </w:rPr>
        <w:t>innych ustaw (Dz. U. poz. 1688 oraz z 2024 r. poz. 1824), „(…) prezydent miasta sporządza projekt planu miejscowego (…) zgodnie z zapisami studium oraz z przepisami odrębnymi (…)”. Działki wskazane w uwagach, zgodnie ze Studium uwarunkowań i kierunków zago</w:t>
      </w:r>
      <w:r>
        <w:rPr>
          <w:color w:val="000000"/>
          <w:u w:color="000000"/>
        </w:rPr>
        <w:t>spodarowania przestrzennego miasta Łodzi (uchwalonym uchwałą Nr LXIX/1753/18 Rady Miejskiej w Łodzi z dnia 28 marca 2018 r., zmienioną uchwałami Rady Miejskiej w Łodzi Nr VI/215/19 z dnia 6 marca 2019 r. i Nr LII/1605/21 z dnia 22 grudnia 2021 r.), znajduj</w:t>
      </w:r>
      <w:r>
        <w:rPr>
          <w:color w:val="000000"/>
          <w:u w:color="000000"/>
        </w:rPr>
        <w:t>ą się w strefie terenów wyłączonych spod zabudowy i ujęte są jako tereny aktywne przyrodniczo, w tym użytkowane rolniczo, oznaczone symbolem „O”. Podstawowym celem Studium w jednostce oznaczonej symbolem "O" jest zachowanie otwartego krajobrazu miasta, och</w:t>
      </w:r>
      <w:r>
        <w:rPr>
          <w:color w:val="000000"/>
          <w:u w:color="000000"/>
        </w:rPr>
        <w:t>rona systemu przyrodniczego oraz przywrócenie walorów przyrodniczych tam, gdzie zostały one zdegradowane.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kierunków polityki przestrzennej określonych dla przedmiotowego obszaru w Studium z ustaleniami planu</w:t>
      </w:r>
      <w:r>
        <w:rPr>
          <w:color w:val="000000"/>
          <w:u w:color="000000"/>
        </w:rPr>
        <w:t xml:space="preserve"> miejscowego uwagi</w:t>
      </w:r>
      <w:r>
        <w:rPr>
          <w:color w:val="000000"/>
          <w:u w:color="000000"/>
        </w:rPr>
        <w:br/>
        <w:t>w zakresie przeznaczenia działki na cele zabudowy mieszkaniowej jednorodzinnej nie mogą być uwzględnione.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Pozostałe wątki poruszone w uwagach nie odnoszą się do treści merytorycznej miejscowego planu zagospodarowania przestrzennego, dlat</w:t>
      </w:r>
      <w:r>
        <w:rPr>
          <w:color w:val="000000"/>
          <w:u w:color="000000"/>
        </w:rPr>
        <w:t>ego nie podlegają one rozpatrzeniu.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Uwagi nr: 2, 3, 4, i 5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−wpłynęły dnia 24 marca 2025 r.,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−dotyczą działek nr: 73/12, 73/14, 73/15, 73/16, 73/17, 73/18 i 73/19, obr. P-40.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„Składam wniosek o ustalenie przeznaczenia terenu działek pod zabudow</w:t>
      </w:r>
      <w:r>
        <w:rPr>
          <w:color w:val="000000"/>
          <w:u w:color="000000"/>
        </w:rPr>
        <w:t>ę mieszkaniową jednorodzinną oraz komunikację wewnętrzną jako kontynuację przeznaczenia terenu działek sąsiednich. Ponadto zwracam uwagę, że działka 73/12 stanowi drogę dojazdową do działek już zurbanizowanych. Działki nr 73/14-73/19 zostały wydzielone z m</w:t>
      </w:r>
      <w:r>
        <w:rPr>
          <w:color w:val="000000"/>
          <w:u w:color="000000"/>
        </w:rPr>
        <w:t xml:space="preserve">yślą by przeznaczyć je </w:t>
      </w:r>
      <w:r>
        <w:rPr>
          <w:color w:val="000000"/>
          <w:u w:color="000000"/>
        </w:rPr>
        <w:lastRenderedPageBreak/>
        <w:t>pod zabudowę mieszkaniową jednorodzinną. Nadmienię również, że działki po drugiej stronie drogi wewnętrznej tj. dz. nr 73/12 mają wydane prawomocne pozwolenia na budowę, na zabudowę mieszkaniową jednorodzinną. Poza tym tereny przyleg</w:t>
      </w:r>
      <w:r>
        <w:rPr>
          <w:color w:val="000000"/>
          <w:u w:color="000000"/>
        </w:rPr>
        <w:t>łe zostały zabudowane i zurbanizowane. Na działce nr 500 trwa budowa budynku mieszkalnego jednorodzinnego, dz. nr 499/1 i działki na wschód od moich nieruchomości, od ul. Złotno w kierunku północnym są już zabudowane. Pozostawienie wnioskowanych nieruchomo</w:t>
      </w:r>
      <w:r>
        <w:rPr>
          <w:color w:val="000000"/>
          <w:u w:color="000000"/>
        </w:rPr>
        <w:t>ści w jednostce planistycznej „2RN-ZN” – teren rolnictwa z zakazem zabudowy lub zieleni naturalnej stoi w sprzeczności z zachowaniem ładu przestrzennego.”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Maksymalny udział powierzchni zabudowy – 10%.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Maksymalna wysokość zabudowy – 10 m.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Minimalny udział p</w:t>
      </w:r>
      <w:r>
        <w:rPr>
          <w:color w:val="000000"/>
          <w:u w:color="000000"/>
        </w:rPr>
        <w:t>owierzchni biologicznie czynnej – 80%.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Uzasadnienie: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Zgodnie z art. 15 ust. 1 ustawy z dnia 27 marca 2003 r. o planowaniu i zagospodarowaniu przestr</w:t>
      </w:r>
      <w:r>
        <w:rPr>
          <w:color w:val="000000"/>
          <w:u w:color="000000"/>
        </w:rPr>
        <w:t>zennym w związku z art. 67 ust. 3 pkt 2 ustawy z dnia 7 lipca 2023 r. o zmianie ustawy</w:t>
      </w:r>
      <w:r>
        <w:rPr>
          <w:color w:val="000000"/>
          <w:u w:color="000000"/>
        </w:rPr>
        <w:br/>
        <w:t>o planowaniu i zagospodarowaniu przestrzennym oraz niektórych innych ustaw, „(…) prezydent miasta sporządza projekt planu miejscowego (…) zgodnie z zapisami studium oraz</w:t>
      </w:r>
      <w:r>
        <w:rPr>
          <w:color w:val="000000"/>
          <w:u w:color="000000"/>
        </w:rPr>
        <w:t xml:space="preserve"> z przepisami odrębnymi (…)”. Działki wskazane w uwagach, zgodnie ze Studium uwarunkowań i kierunków zagospodarowania przestrzennego miasta Łodzi (uchwalonym uchwałą Nr LXIX/1753/18 Rady Miejskiej w Łodzi z dnia 28 marca 2018 r., zmienioną uchwałami Rady M</w:t>
      </w:r>
      <w:r>
        <w:rPr>
          <w:color w:val="000000"/>
          <w:u w:color="000000"/>
        </w:rPr>
        <w:t>iejskiej w Łodzi Nr VI/215/19 z dnia 6 marca 2019 r. i Nr LII/1605/21</w:t>
      </w:r>
      <w:r>
        <w:rPr>
          <w:color w:val="000000"/>
          <w:u w:color="000000"/>
        </w:rPr>
        <w:br/>
        <w:t>z dnia 22 grudnia 2021 r.), znajdują się w strefie terenów wyłączonych spod zabudowy i ujęte są jako tereny aktywne przyrodniczo, w tym użytkowane rolniczo, oznaczone symbolem „O”. Podst</w:t>
      </w:r>
      <w:r>
        <w:rPr>
          <w:color w:val="000000"/>
          <w:u w:color="000000"/>
        </w:rPr>
        <w:t>awowym celem Studium w jednostce oznaczonej symbolem "O" jest zachowanie otwartego krajobrazu miasta, ochrona systemu przyrodniczego oraz przywrócenie walorów przyrodniczych tam, gdzie zostały one zdegradowane.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</w:t>
      </w:r>
      <w:r>
        <w:rPr>
          <w:color w:val="000000"/>
          <w:u w:color="000000"/>
        </w:rPr>
        <w:t>ści kierunków polityki przestrzennej określonych dla przedmiotowego obszaru w Studium z ustaleniami planu miejscowego uwagi</w:t>
      </w:r>
      <w:r>
        <w:rPr>
          <w:color w:val="000000"/>
          <w:u w:color="000000"/>
        </w:rPr>
        <w:br/>
        <w:t>w zakresie przeznaczenia działki na cele zabudowy mieszkaniowej jednorodzinnej nie mogą być uwzględnione.</w:t>
      </w:r>
    </w:p>
    <w:p w:rsidR="00A77B3E" w:rsidRDefault="00205CFE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zakresie możliwości real</w:t>
      </w:r>
      <w:r>
        <w:rPr>
          <w:color w:val="000000"/>
          <w:u w:color="000000"/>
        </w:rPr>
        <w:t>izacji dróg dojazdowych do posesji oraz utwardzenia ich nawierzchni projekt planu dopuszcza takie przeznaczenie terenu zgodnie z ustaleniami § 14 ust. 2 pkt 2 lit. a projektu planu, cyt.: „przeznaczenie uzupełniające: a) teren komunikacji drogowej wewnętrz</w:t>
      </w:r>
      <w:r>
        <w:rPr>
          <w:color w:val="000000"/>
          <w:u w:color="000000"/>
        </w:rPr>
        <w:t>nej, (…)”.</w:t>
      </w:r>
    </w:p>
    <w:p w:rsidR="00A77B3E" w:rsidRDefault="00205CFE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Pozostałe wątki poruszone w uwagach nie odnoszą się do treści merytorycznej miejscowego planu zagospodarowania przestrzennego, dlatego nie podlegają one rozpatrzeniu.</w:t>
      </w:r>
    </w:p>
    <w:p w:rsidR="00A77B3E" w:rsidRDefault="00A77B3E">
      <w:pPr>
        <w:keepNext/>
        <w:keepLines/>
        <w:spacing w:before="100" w:after="100"/>
        <w:rPr>
          <w:color w:val="000000"/>
          <w:u w:color="000000"/>
        </w:rPr>
      </w:pPr>
    </w:p>
    <w:p w:rsidR="00A77B3E" w:rsidRDefault="00205CF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36"/>
        <w:gridCol w:w="4536"/>
      </w:tblGrid>
      <w:tr w:rsidR="00F60E7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E7E" w:rsidRDefault="00F60E7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E7E" w:rsidRDefault="00205CFE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 DOMASZEWICZ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</w:pPr>
    </w:p>
    <w:p w:rsidR="00A77B3E" w:rsidRDefault="004056A7">
      <w:pPr>
        <w:keepNext/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Załącznik Nr 3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r.</w:t>
      </w:r>
    </w:p>
    <w:p w:rsidR="00A77B3E" w:rsidRDefault="00205CFE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planie, inwestycji z zakresu infrastruktury technicznej, które należą do zadań własnych gminy oraz zasadach ich finansowania, zgodnie z przepisami o fi</w:t>
      </w:r>
      <w:r>
        <w:rPr>
          <w:b/>
          <w:color w:val="000000"/>
          <w:u w:color="000000"/>
        </w:rPr>
        <w:t>nansach publicznych.</w:t>
      </w:r>
    </w:p>
    <w:p w:rsidR="00A77B3E" w:rsidRDefault="00205CFE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projekcie planu nie znalazły się żadne zadania z zakresu infrastruktury technicznej, będące zadaniami własnymi gminy.</w:t>
      </w:r>
    </w:p>
    <w:p w:rsidR="00A77B3E" w:rsidRDefault="00A77B3E">
      <w:pPr>
        <w:keepNext/>
        <w:keepLines/>
        <w:spacing w:before="100" w:after="100"/>
        <w:rPr>
          <w:color w:val="000000"/>
          <w:u w:color="000000"/>
        </w:rPr>
      </w:pPr>
    </w:p>
    <w:p w:rsidR="00A77B3E" w:rsidRDefault="00205CF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36"/>
        <w:gridCol w:w="4536"/>
      </w:tblGrid>
      <w:tr w:rsidR="00F60E7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E7E" w:rsidRDefault="00F60E7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E7E" w:rsidRDefault="00205CFE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 DOMASZEWICZ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1417" w:right="1417" w:bottom="850" w:left="1417" w:header="708" w:footer="708" w:gutter="0"/>
          <w:cols w:space="708"/>
          <w:docGrid w:linePitch="360"/>
        </w:sectPr>
      </w:pPr>
    </w:p>
    <w:p w:rsidR="00A77B3E" w:rsidRDefault="00B47D52">
      <w:pPr>
        <w:keepNext/>
        <w:spacing w:after="24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205CFE">
        <w:t>Załącznik Nr 4 do uchwały</w:t>
      </w:r>
      <w:r w:rsidR="00205CFE">
        <w:rPr>
          <w:color w:val="000000"/>
          <w:u w:color="000000"/>
        </w:rPr>
        <w:t xml:space="preserve"> Nr ^^^^^^^^^^^^^^^^^^^^</w:t>
      </w:r>
      <w:r w:rsidR="00205CFE">
        <w:rPr>
          <w:color w:val="000000"/>
          <w:u w:color="000000"/>
        </w:rPr>
        <w:br/>
      </w:r>
      <w:r w:rsidR="00205CFE">
        <w:t>Rady Miejskiej w Łodzi</w:t>
      </w:r>
      <w:r w:rsidR="00205CFE">
        <w:rPr>
          <w:color w:val="000000"/>
          <w:u w:color="000000"/>
        </w:rPr>
        <w:br/>
      </w:r>
      <w:r w:rsidR="00205CFE">
        <w:t>z dnia .................... .... r.</w:t>
      </w:r>
      <w:r w:rsidR="00205CFE">
        <w:rPr>
          <w:color w:val="000000"/>
          <w:u w:color="000000"/>
        </w:rPr>
        <w:br/>
      </w:r>
      <w:hyperlink r:id="rId22" w:history="1">
        <w:r w:rsidR="00A77B3E">
          <w:rPr>
            <w:rStyle w:val="Hipercze"/>
            <w:color w:val="000000"/>
            <w:u w:val="none" w:color="000000"/>
          </w:rPr>
          <w:t>Zalacznik4.gml</w:t>
        </w:r>
      </w:hyperlink>
    </w:p>
    <w:p w:rsidR="00A77B3E" w:rsidRDefault="00205CFE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1417" w:right="1417" w:bottom="850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ustawy ujawnione zostaną po kliknięciu w ikonę.</w:t>
      </w:r>
    </w:p>
    <w:p w:rsidR="00F60E7E" w:rsidRDefault="00205CFE">
      <w:pPr>
        <w:jc w:val="center"/>
        <w:rPr>
          <w:color w:val="000000"/>
          <w:szCs w:val="20"/>
          <w:lang w:eastAsia="en-US" w:bidi="ar-SA"/>
        </w:rPr>
      </w:pPr>
      <w:r>
        <w:rPr>
          <w:b/>
          <w:color w:val="000000"/>
          <w:szCs w:val="20"/>
          <w:lang w:eastAsia="en-US" w:bidi="ar-SA"/>
        </w:rPr>
        <w:lastRenderedPageBreak/>
        <w:t>Uzasadnienie</w:t>
      </w:r>
    </w:p>
    <w:p w:rsidR="00F60E7E" w:rsidRDefault="00205CFE">
      <w:pPr>
        <w:jc w:val="center"/>
        <w:rPr>
          <w:b/>
          <w:color w:val="000000"/>
          <w:szCs w:val="20"/>
          <w:lang w:eastAsia="en-US" w:bidi="ar-SA"/>
        </w:rPr>
      </w:pPr>
      <w:r>
        <w:rPr>
          <w:b/>
          <w:color w:val="000000"/>
          <w:szCs w:val="20"/>
          <w:lang w:eastAsia="en-US" w:bidi="ar-SA"/>
        </w:rPr>
        <w:t xml:space="preserve">do projektu uchwały w sprawie uchwalenia miejscowego planu zagospodarowania </w:t>
      </w:r>
      <w:r>
        <w:rPr>
          <w:b/>
          <w:color w:val="000000"/>
          <w:szCs w:val="20"/>
          <w:lang w:eastAsia="en-US" w:bidi="ar-SA"/>
        </w:rPr>
        <w:t>przestrzennego dla części obszaru miasta Łodzi położonej w rejonie ulic</w:t>
      </w:r>
      <w:r>
        <w:rPr>
          <w:b/>
          <w:color w:val="000000"/>
          <w:szCs w:val="20"/>
        </w:rPr>
        <w:t>: Szczecińskiej,</w:t>
      </w:r>
      <w:r>
        <w:rPr>
          <w:b/>
          <w:color w:val="000000"/>
          <w:szCs w:val="20"/>
          <w:lang w:eastAsia="en-US" w:bidi="ar-SA"/>
        </w:rPr>
        <w:t xml:space="preserve"> </w:t>
      </w:r>
      <w:r>
        <w:rPr>
          <w:b/>
          <w:color w:val="000000"/>
          <w:szCs w:val="20"/>
        </w:rPr>
        <w:t>Podchorążych i Złotno.</w:t>
      </w:r>
    </w:p>
    <w:p w:rsidR="00F60E7E" w:rsidRDefault="00F60E7E">
      <w:pPr>
        <w:rPr>
          <w:szCs w:val="20"/>
          <w:lang w:eastAsia="en-US" w:bidi="ar-SA"/>
        </w:rPr>
      </w:pPr>
    </w:p>
    <w:p w:rsidR="00F60E7E" w:rsidRDefault="00205CFE">
      <w:pPr>
        <w:suppressAutoHyphens/>
        <w:ind w:firstLine="425"/>
        <w:rPr>
          <w:szCs w:val="20"/>
          <w:shd w:val="clear" w:color="auto" w:fill="FFFFFF"/>
          <w:lang w:val="ar-SA" w:eastAsia="ar-SA" w:bidi="ar-SA"/>
        </w:rPr>
      </w:pPr>
      <w:r>
        <w:rPr>
          <w:szCs w:val="20"/>
          <w:shd w:val="clear" w:color="auto" w:fill="FFFFFF"/>
        </w:rPr>
        <w:t xml:space="preserve">Zgodnie z podjętą uchwałą </w:t>
      </w:r>
      <w:r>
        <w:rPr>
          <w:color w:val="000000"/>
          <w:szCs w:val="20"/>
          <w:shd w:val="clear" w:color="auto" w:fill="FFFFFF"/>
          <w:lang w:val="ar-SA" w:eastAsia="ar-SA" w:bidi="ar-SA"/>
        </w:rPr>
        <w:t>Nr LXX</w:t>
      </w:r>
      <w:r>
        <w:rPr>
          <w:color w:val="000000"/>
          <w:szCs w:val="20"/>
          <w:shd w:val="clear" w:color="auto" w:fill="FFFFFF"/>
        </w:rPr>
        <w:t>XVIII</w:t>
      </w:r>
      <w:r>
        <w:rPr>
          <w:color w:val="000000"/>
          <w:szCs w:val="20"/>
          <w:shd w:val="clear" w:color="auto" w:fill="FFFFFF"/>
          <w:lang w:val="ar-SA" w:eastAsia="ar-SA" w:bidi="ar-SA"/>
        </w:rPr>
        <w:t>/2</w:t>
      </w:r>
      <w:r>
        <w:rPr>
          <w:color w:val="000000"/>
          <w:szCs w:val="20"/>
          <w:shd w:val="clear" w:color="auto" w:fill="FFFFFF"/>
        </w:rPr>
        <w:t>695</w:t>
      </w:r>
      <w:r>
        <w:rPr>
          <w:color w:val="000000"/>
          <w:szCs w:val="20"/>
          <w:shd w:val="clear" w:color="auto" w:fill="FFFFFF"/>
          <w:lang w:val="ar-SA" w:eastAsia="ar-SA" w:bidi="ar-SA"/>
        </w:rPr>
        <w:t>/2</w:t>
      </w:r>
      <w:r>
        <w:rPr>
          <w:color w:val="000000"/>
          <w:szCs w:val="20"/>
          <w:shd w:val="clear" w:color="auto" w:fill="FFFFFF"/>
        </w:rPr>
        <w:t>4</w:t>
      </w:r>
      <w:r>
        <w:rPr>
          <w:szCs w:val="20"/>
          <w:shd w:val="clear" w:color="auto" w:fill="FFFFFF"/>
        </w:rPr>
        <w:t xml:space="preserve"> Rady Miejskiej w Łodzi z dnia 13 marca 2024 r. przystąpiono do sporządzenia projektu </w:t>
      </w:r>
      <w:r>
        <w:rPr>
          <w:szCs w:val="20"/>
          <w:shd w:val="clear" w:color="auto" w:fill="FFFFFF"/>
          <w:lang w:val="ar-SA" w:eastAsia="ar-SA" w:bidi="ar-SA"/>
        </w:rPr>
        <w:t xml:space="preserve">miejscowego planu zagospodarowania przestrzennego dla części obszaru miasta Łodzi położonej </w:t>
      </w:r>
      <w:r>
        <w:rPr>
          <w:color w:val="000000"/>
          <w:szCs w:val="20"/>
          <w:shd w:val="clear" w:color="auto" w:fill="FFFFFF"/>
          <w:lang w:val="ar-SA" w:eastAsia="ar-SA" w:bidi="ar-SA"/>
        </w:rPr>
        <w:t>w rejonie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ar-SA" w:eastAsia="ar-SA" w:bidi="ar-SA"/>
        </w:rPr>
        <w:t>ulic</w:t>
      </w:r>
      <w:r>
        <w:rPr>
          <w:color w:val="000000"/>
          <w:szCs w:val="20"/>
          <w:shd w:val="clear" w:color="auto" w:fill="FFFFFF"/>
        </w:rPr>
        <w:t>: Szczecińskiej,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Podchorążych i Złotno</w:t>
      </w:r>
      <w:r>
        <w:rPr>
          <w:szCs w:val="20"/>
          <w:shd w:val="clear" w:color="auto" w:fill="FFFFFF"/>
          <w:lang w:val="ar-SA" w:eastAsia="ar-SA" w:bidi="ar-SA"/>
        </w:rPr>
        <w:t>.</w:t>
      </w:r>
    </w:p>
    <w:p w:rsidR="00F60E7E" w:rsidRDefault="00205CFE">
      <w:pPr>
        <w:spacing w:before="320" w:after="320"/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Obszar objęty projektem planu miejscowego o powierzchni ok. </w:t>
      </w:r>
      <w:r>
        <w:rPr>
          <w:color w:val="000000"/>
          <w:szCs w:val="20"/>
          <w:lang w:eastAsia="en-US" w:bidi="ar-SA"/>
        </w:rPr>
        <w:t>49</w:t>
      </w:r>
      <w:r>
        <w:rPr>
          <w:color w:val="000000"/>
          <w:szCs w:val="20"/>
          <w:lang w:val="en-US" w:eastAsia="en-US" w:bidi="en-US"/>
        </w:rPr>
        <w:t xml:space="preserve"> ha zlokalizowany jest w </w:t>
      </w:r>
      <w:r>
        <w:rPr>
          <w:color w:val="000000"/>
          <w:szCs w:val="20"/>
          <w:lang w:eastAsia="en-US" w:bidi="ar-SA"/>
        </w:rPr>
        <w:t>zachodniej</w:t>
      </w:r>
      <w:r>
        <w:rPr>
          <w:color w:val="000000"/>
          <w:szCs w:val="20"/>
          <w:lang w:val="en-US" w:eastAsia="en-US" w:bidi="en-US"/>
        </w:rPr>
        <w:t xml:space="preserve"> części osied</w:t>
      </w:r>
      <w:r>
        <w:rPr>
          <w:color w:val="000000"/>
          <w:szCs w:val="20"/>
          <w:lang w:val="en-US" w:eastAsia="en-US" w:bidi="en-US"/>
        </w:rPr>
        <w:t>la Złotno. Obszar obejmuje</w:t>
      </w:r>
      <w:r>
        <w:rPr>
          <w:color w:val="000000"/>
          <w:szCs w:val="20"/>
          <w:lang w:eastAsia="en-US" w:bidi="ar-SA"/>
        </w:rPr>
        <w:t xml:space="preserve"> bezpośrednie</w:t>
      </w:r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  <w:lang w:eastAsia="en-US" w:bidi="ar-SA"/>
        </w:rPr>
        <w:t>sąsiedztwo</w:t>
      </w:r>
      <w:r>
        <w:rPr>
          <w:color w:val="000000"/>
          <w:szCs w:val="20"/>
          <w:lang w:val="en-US" w:eastAsia="en-US" w:bidi="en-US"/>
        </w:rPr>
        <w:t xml:space="preserve"> doliny rzeki Jasieniec,</w:t>
      </w:r>
      <w:r>
        <w:rPr>
          <w:color w:val="000000"/>
          <w:szCs w:val="20"/>
          <w:lang w:eastAsia="en-US" w:bidi="ar-SA"/>
        </w:rPr>
        <w:t xml:space="preserve"> w tym ciek z Huty Jagodnica zasilający rzekę Jasieniec oraz</w:t>
      </w:r>
      <w:r>
        <w:rPr>
          <w:color w:val="000000"/>
          <w:szCs w:val="20"/>
          <w:lang w:val="en-US" w:eastAsia="en-US" w:bidi="en-US"/>
        </w:rPr>
        <w:t xml:space="preserve"> tereny otwarte.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>Na obszarze objętym projektem planu zlokalizowana jest pojedyncza zabudowa mieszkaniowa jednorodzinna.</w:t>
      </w:r>
    </w:p>
    <w:p w:rsidR="00F60E7E" w:rsidRDefault="00205CFE">
      <w:pPr>
        <w:spacing w:before="320" w:after="320"/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 wyniku realizacji ww. uchwały został opracowany projekt planu miejscowego wraz z prognozą oddziaływania na środowisko.</w:t>
      </w:r>
    </w:p>
    <w:p w:rsidR="00F60E7E" w:rsidRDefault="00205CFE">
      <w:pPr>
        <w:spacing w:before="320"/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Przedmiotem planu, zgodnie z jego uchwałą inicjującą, jest ustalenie przeznaczenia i sposobu zagospodarowania terenów zgodnie z wymogam</w:t>
      </w:r>
      <w:r>
        <w:rPr>
          <w:color w:val="000000"/>
          <w:szCs w:val="20"/>
          <w:lang w:val="en-US" w:eastAsia="en-US" w:bidi="en-US"/>
        </w:rPr>
        <w:t>i ładu przestrzennego oraz realizowaną polityką przestrzenną Miasta określoną w Studium uwarunkowań i kierunków zagospodarowania przestrzennego miasta Łodzi (uchwalonym uchwałą Nr LXIX/1753/18 Rady Miejskiej w Łodzi z dnia 28 marca 2018 r.</w:t>
      </w:r>
      <w:r>
        <w:rPr>
          <w:color w:val="000000"/>
          <w:szCs w:val="20"/>
          <w:lang w:eastAsia="en-US" w:bidi="ar-SA"/>
        </w:rPr>
        <w:t>,</w:t>
      </w:r>
      <w:r>
        <w:rPr>
          <w:color w:val="000000"/>
          <w:szCs w:val="20"/>
          <w:lang w:val="en-US" w:eastAsia="en-US" w:bidi="en-US"/>
        </w:rPr>
        <w:t xml:space="preserve"> zmienioną uchwa</w:t>
      </w:r>
      <w:r>
        <w:rPr>
          <w:color w:val="000000"/>
          <w:szCs w:val="20"/>
          <w:lang w:val="en-US" w:eastAsia="en-US" w:bidi="en-US"/>
        </w:rPr>
        <w:t xml:space="preserve">łami Rady Miejskiej w Łodzi Nr VI/215/19 z dnia 6 marca 2019 r. i Nr LII/1605/21 z dnia 22 grudnia 2021 r.) </w:t>
      </w:r>
      <w:r>
        <w:rPr>
          <w:color w:val="000000"/>
          <w:szCs w:val="20"/>
          <w:lang w:val="en-US" w:eastAsia="en-US" w:bidi="en-US"/>
        </w:rPr>
        <w:br/>
        <w:t>w związku z</w:t>
      </w:r>
      <w:r>
        <w:rPr>
          <w:color w:val="000000"/>
          <w:szCs w:val="20"/>
          <w:lang w:eastAsia="en-US" w:bidi="ar-SA"/>
        </w:rPr>
        <w:t xml:space="preserve"> art. 67 ust. 3 pkt 2 ustawy z dnia 7 lipca 2023 r. o zmianie ustawy o planowaniu </w:t>
      </w:r>
      <w:r>
        <w:rPr>
          <w:color w:val="000000"/>
          <w:szCs w:val="20"/>
          <w:lang w:eastAsia="en-US" w:bidi="ar-SA"/>
        </w:rPr>
        <w:br/>
        <w:t>i zagospodarowaniu przestrzennym oraz niektórych inny</w:t>
      </w:r>
      <w:r>
        <w:rPr>
          <w:color w:val="000000"/>
          <w:szCs w:val="20"/>
          <w:lang w:eastAsia="en-US" w:bidi="ar-SA"/>
        </w:rPr>
        <w:t>ch ustaw (Dz. U. poz. 1688</w:t>
      </w:r>
      <w:r>
        <w:rPr>
          <w:color w:val="000000"/>
          <w:szCs w:val="20"/>
        </w:rPr>
        <w:t xml:space="preserve"> oraz </w:t>
      </w:r>
      <w:r>
        <w:rPr>
          <w:color w:val="000000"/>
          <w:szCs w:val="20"/>
        </w:rPr>
        <w:br/>
      </w:r>
      <w:r>
        <w:rPr>
          <w:color w:val="000000"/>
          <w:szCs w:val="20"/>
          <w:lang w:eastAsia="en-US" w:bidi="ar-SA"/>
        </w:rPr>
        <w:t>z 2024 r. poz. 1824)</w:t>
      </w:r>
      <w:r>
        <w:rPr>
          <w:color w:val="000000"/>
          <w:szCs w:val="20"/>
          <w:lang w:val="en-US" w:eastAsia="en-US" w:bidi="en-US"/>
        </w:rPr>
        <w:t xml:space="preserve">. W obowiązującym Studium cały obszar objęty projektem planu wskazany został jako </w:t>
      </w:r>
      <w:r>
        <w:rPr>
          <w:i/>
          <w:color w:val="000000"/>
          <w:szCs w:val="20"/>
          <w:lang w:val="en-US" w:eastAsia="en-US" w:bidi="en-US"/>
        </w:rPr>
        <w:t>tereny aktywne przyrodniczo, w tym użytkowane rolniczo</w:t>
      </w:r>
      <w:r>
        <w:rPr>
          <w:color w:val="000000"/>
          <w:szCs w:val="20"/>
          <w:lang w:val="en-US" w:eastAsia="en-US" w:bidi="en-US"/>
        </w:rPr>
        <w:t xml:space="preserve"> – symbol O. Głównymi elementami środowiska przyrodniczego obszaru </w:t>
      </w:r>
      <w:r>
        <w:rPr>
          <w:color w:val="000000"/>
          <w:szCs w:val="20"/>
          <w:lang w:val="en-US" w:eastAsia="en-US" w:bidi="en-US"/>
        </w:rPr>
        <w:t xml:space="preserve">objętego opracowaniem są </w:t>
      </w:r>
      <w:r>
        <w:rPr>
          <w:color w:val="000000"/>
          <w:szCs w:val="20"/>
          <w:lang w:eastAsia="en-US" w:bidi="ar-SA"/>
        </w:rPr>
        <w:t xml:space="preserve">ciek </w:t>
      </w:r>
      <w:r>
        <w:rPr>
          <w:color w:val="000000"/>
          <w:szCs w:val="20"/>
        </w:rPr>
        <w:br/>
      </w:r>
      <w:r>
        <w:rPr>
          <w:color w:val="000000"/>
          <w:szCs w:val="20"/>
          <w:lang w:eastAsia="en-US" w:bidi="ar-SA"/>
        </w:rPr>
        <w:t xml:space="preserve">z Huty Jagodnica oraz </w:t>
      </w:r>
      <w:r>
        <w:rPr>
          <w:color w:val="000000"/>
          <w:szCs w:val="20"/>
          <w:lang w:val="en-US" w:eastAsia="en-US" w:bidi="en-US"/>
        </w:rPr>
        <w:t>tereny otwarte</w:t>
      </w:r>
      <w:r>
        <w:rPr>
          <w:color w:val="000000"/>
          <w:szCs w:val="20"/>
          <w:lang w:eastAsia="en-US" w:bidi="ar-SA"/>
        </w:rPr>
        <w:t xml:space="preserve">, </w:t>
      </w:r>
      <w:r>
        <w:rPr>
          <w:color w:val="000000"/>
          <w:szCs w:val="20"/>
          <w:lang w:val="en-US" w:eastAsia="en-US" w:bidi="en-US"/>
        </w:rPr>
        <w:t>na których następuje sukcesja naturalna.</w:t>
      </w:r>
    </w:p>
    <w:p w:rsidR="00F60E7E" w:rsidRDefault="00205CFE">
      <w:pPr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Obowiązujący dokument Studium dopuszcza możliwość funkcjonowania istniejącej zabudowy niezgodnej z przeznaczeniem terenu określonym w kartach usta</w:t>
      </w:r>
      <w:r>
        <w:rPr>
          <w:color w:val="000000"/>
          <w:szCs w:val="20"/>
          <w:lang w:val="en-US" w:eastAsia="en-US" w:bidi="en-US"/>
        </w:rPr>
        <w:t>leń dla jednostek funkcjonalno-przestrzennych ww. dokumentu, w granicach istniejącego zainwestowania. W projekcie miejscowego planu zagospodarowania przestrzennego dla zabudowy istniejącej określone zostały możliwości i zasady prowadzenia robót budowlanych</w:t>
      </w:r>
      <w:r>
        <w:rPr>
          <w:color w:val="000000"/>
          <w:szCs w:val="20"/>
          <w:lang w:val="en-US" w:eastAsia="en-US" w:bidi="en-US"/>
        </w:rPr>
        <w:t>.</w:t>
      </w:r>
    </w:p>
    <w:p w:rsidR="00F60E7E" w:rsidRDefault="00205CFE">
      <w:pPr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Projektowany miejscowy plan zagospodarowania przestrzennego regulując zasady zagospodarowania terenów zapobiega procesom niekontrolowanego rozlewania się zabudowy na terenie doliny i terenach przyległych.</w:t>
      </w:r>
    </w:p>
    <w:p w:rsidR="00F60E7E" w:rsidRDefault="00205CFE">
      <w:pPr>
        <w:spacing w:after="320"/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 związku z powyższym</w:t>
      </w:r>
      <w:r>
        <w:rPr>
          <w:color w:val="000000"/>
          <w:szCs w:val="20"/>
          <w:lang w:eastAsia="en-US" w:bidi="ar-SA"/>
        </w:rPr>
        <w:t>,</w:t>
      </w:r>
      <w:r>
        <w:rPr>
          <w:color w:val="000000"/>
          <w:szCs w:val="20"/>
          <w:lang w:val="en-US" w:eastAsia="en-US" w:bidi="en-US"/>
        </w:rPr>
        <w:t xml:space="preserve"> celem opracowania planu je</w:t>
      </w:r>
      <w:r>
        <w:rPr>
          <w:color w:val="000000"/>
          <w:szCs w:val="20"/>
          <w:lang w:val="en-US" w:eastAsia="en-US" w:bidi="en-US"/>
        </w:rPr>
        <w:t xml:space="preserve">st kształtowanie standardów zagospodarowania i użytkowania terenów poprzez zachowanie i ochronę elementów systemu przyrodniczego Miasta </w:t>
      </w:r>
      <w:r>
        <w:rPr>
          <w:color w:val="000000"/>
          <w:szCs w:val="20"/>
        </w:rPr>
        <w:t xml:space="preserve">Łodzi, </w:t>
      </w:r>
      <w:r>
        <w:rPr>
          <w:color w:val="000000"/>
          <w:szCs w:val="20"/>
          <w:lang w:eastAsia="en-US" w:bidi="ar-SA"/>
        </w:rPr>
        <w:t xml:space="preserve">cieku z Huty Jagodnica oraz </w:t>
      </w:r>
      <w:r>
        <w:rPr>
          <w:color w:val="000000"/>
          <w:szCs w:val="20"/>
          <w:lang w:val="en-US" w:eastAsia="en-US" w:bidi="en-US"/>
        </w:rPr>
        <w:t>terenów otwartych, pełniących rolę rekreacyjno-wypoczynkową i klimatyczno-biologiczną</w:t>
      </w:r>
      <w:r>
        <w:rPr>
          <w:color w:val="000000"/>
          <w:szCs w:val="20"/>
          <w:lang w:val="en-US" w:eastAsia="en-US" w:bidi="en-US"/>
        </w:rPr>
        <w:t>.</w:t>
      </w:r>
    </w:p>
    <w:p w:rsidR="00F60E7E" w:rsidRDefault="00205CFE">
      <w:pPr>
        <w:spacing w:before="320"/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 projekcie planu nie ustalono szczególnych warunków zagospodarowania oraz ograniczeń w użytkowaniu wynikających z występowania istniejących sieci wodociągowej</w:t>
      </w:r>
      <w:r>
        <w:rPr>
          <w:color w:val="000000"/>
          <w:szCs w:val="20"/>
          <w:lang w:eastAsia="en-US" w:bidi="ar-SA"/>
        </w:rPr>
        <w:t xml:space="preserve"> </w:t>
      </w:r>
      <w:r>
        <w:rPr>
          <w:color w:val="000000"/>
          <w:szCs w:val="20"/>
          <w:lang w:eastAsia="en-US" w:bidi="ar-SA"/>
        </w:rPr>
        <w:br/>
        <w:t xml:space="preserve">i </w:t>
      </w:r>
      <w:r>
        <w:rPr>
          <w:color w:val="000000"/>
          <w:szCs w:val="20"/>
          <w:lang w:val="en-US" w:eastAsia="en-US" w:bidi="en-US"/>
        </w:rPr>
        <w:t xml:space="preserve">kanalizacyjnej, </w:t>
      </w:r>
      <w:r>
        <w:rPr>
          <w:color w:val="000000"/>
          <w:szCs w:val="20"/>
          <w:lang w:eastAsia="en-US" w:bidi="ar-SA"/>
        </w:rPr>
        <w:t>a także kabli elektro</w:t>
      </w:r>
      <w:r>
        <w:rPr>
          <w:color w:val="000000"/>
          <w:szCs w:val="20"/>
          <w:lang w:val="en-US" w:eastAsia="en-US" w:bidi="en-US"/>
        </w:rPr>
        <w:t>energetyczn</w:t>
      </w:r>
      <w:r>
        <w:rPr>
          <w:color w:val="000000"/>
          <w:szCs w:val="20"/>
          <w:lang w:eastAsia="en-US" w:bidi="ar-SA"/>
        </w:rPr>
        <w:t>ych</w:t>
      </w:r>
      <w:r>
        <w:rPr>
          <w:color w:val="000000"/>
          <w:szCs w:val="20"/>
          <w:lang w:val="en-US" w:eastAsia="en-US" w:bidi="en-US"/>
        </w:rPr>
        <w:t>. Podejmując decyzję Prezydent Miasta zw</w:t>
      </w:r>
      <w:r>
        <w:rPr>
          <w:color w:val="000000"/>
          <w:szCs w:val="20"/>
          <w:lang w:val="en-US" w:eastAsia="en-US" w:bidi="en-US"/>
        </w:rPr>
        <w:t xml:space="preserve">ażył interes Miasta, gestorów sieci infrastruktury technicznej oraz interesy prywatne właścicieli poszczególnych nieruchomości. </w:t>
      </w:r>
      <w:r>
        <w:rPr>
          <w:color w:val="000000"/>
          <w:szCs w:val="20"/>
          <w:lang w:val="ar-SA" w:eastAsia="ar-SA" w:bidi="ar-SA"/>
        </w:rPr>
        <w:t>Przepis art. 15 ust. 2 pkt 9 ustawy z dnia 27 marca 2003 r. o planowaniu</w:t>
      </w:r>
      <w:r>
        <w:rPr>
          <w:color w:val="000000"/>
          <w:szCs w:val="20"/>
          <w:lang w:eastAsia="en-US" w:bidi="ar-SA"/>
        </w:rPr>
        <w:t xml:space="preserve"> </w:t>
      </w:r>
      <w:r>
        <w:rPr>
          <w:color w:val="000000"/>
          <w:szCs w:val="20"/>
          <w:lang w:val="ar-SA" w:eastAsia="ar-SA" w:bidi="ar-SA"/>
        </w:rPr>
        <w:t xml:space="preserve">i zagospodarowaniu przestrzennym </w:t>
      </w:r>
      <w:r>
        <w:rPr>
          <w:color w:val="000000"/>
          <w:szCs w:val="20"/>
          <w:lang w:eastAsia="en-US" w:bidi="ar-SA"/>
        </w:rPr>
        <w:t>(Dz. U. z 2024 r. poz.</w:t>
      </w:r>
      <w:r>
        <w:rPr>
          <w:color w:val="000000"/>
          <w:szCs w:val="20"/>
          <w:lang w:eastAsia="en-US" w:bidi="ar-SA"/>
        </w:rPr>
        <w:t xml:space="preserve"> 1130</w:t>
      </w:r>
      <w:r>
        <w:rPr>
          <w:color w:val="000000"/>
          <w:szCs w:val="20"/>
        </w:rPr>
        <w:t xml:space="preserve">, 1907 </w:t>
      </w:r>
      <w:r>
        <w:rPr>
          <w:color w:val="000000"/>
          <w:szCs w:val="20"/>
        </w:rPr>
        <w:br/>
      </w:r>
      <w:r>
        <w:rPr>
          <w:color w:val="000000"/>
          <w:szCs w:val="20"/>
        </w:rPr>
        <w:lastRenderedPageBreak/>
        <w:t xml:space="preserve">i 1940 </w:t>
      </w:r>
      <w:r>
        <w:rPr>
          <w:color w:val="000000"/>
          <w:szCs w:val="20"/>
          <w:lang w:eastAsia="en-US" w:bidi="ar-SA"/>
        </w:rPr>
        <w:t>oraz z 2025 r. poz. 527), dalej zwaną ustawą,</w:t>
      </w:r>
      <w:r>
        <w:rPr>
          <w:color w:val="000000"/>
          <w:szCs w:val="20"/>
          <w:lang w:val="en-US" w:eastAsia="en-US" w:bidi="en-US"/>
        </w:rPr>
        <w:t xml:space="preserve"> daje organowi planistycznemu upoważnienie do zawarcia w planie miejscowym postanowień, które mogą w konsekwencji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>w sposób istotny ograniczać lub nawet pozbawić właściciela lub użytkownika w</w:t>
      </w:r>
      <w:r>
        <w:rPr>
          <w:color w:val="000000"/>
          <w:szCs w:val="20"/>
          <w:lang w:val="en-US" w:eastAsia="en-US" w:bidi="en-US"/>
        </w:rPr>
        <w:t xml:space="preserve">ieczystego możliwości wykonywania konstytucyjnie chronionego prawa własności. Jednakże taka poważna ingerencja w prawo własności musi być uzasadniona i proporcjonalna w stosunku do celów, których osiągnięciu ma służyć. Rezygnacja z ww. ustaleń podyktowana </w:t>
      </w:r>
      <w:r>
        <w:rPr>
          <w:color w:val="000000"/>
          <w:szCs w:val="20"/>
          <w:lang w:val="en-US" w:eastAsia="en-US" w:bidi="en-US"/>
        </w:rPr>
        <w:t>jest brakiem powszechnie obowiązujących przepisów prawnych nakazujących wprowadzenie określonych ograniczeń w zagospodarowaniu terenu.</w:t>
      </w:r>
    </w:p>
    <w:p w:rsidR="00F60E7E" w:rsidRDefault="00205CFE">
      <w:pPr>
        <w:spacing w:before="320" w:after="320"/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 projekcie planu wyznaczono strefy kontrolowane od istniejących gazociągów w terenach innych niż komunikacji drogowej. N</w:t>
      </w:r>
      <w:r>
        <w:rPr>
          <w:color w:val="000000"/>
          <w:szCs w:val="20"/>
          <w:lang w:val="en-US" w:eastAsia="en-US" w:bidi="en-US"/>
        </w:rPr>
        <w:t xml:space="preserve">a podstawie danych otrzymanych od gestora sieci dotyczących parametrów gazociągów występujących w granicach obszaru objętego planem oraz roku ich budowy i zastosowanego materiału wyznaczono szerokość stref kontrolowanych, która jest zgodna z </w:t>
      </w:r>
      <w:r>
        <w:rPr>
          <w:color w:val="000000"/>
          <w:szCs w:val="20"/>
          <w:lang w:eastAsia="en-US" w:bidi="ar-SA"/>
        </w:rPr>
        <w:t>r</w:t>
      </w:r>
      <w:r>
        <w:rPr>
          <w:color w:val="000000"/>
          <w:szCs w:val="20"/>
          <w:lang w:val="en-US" w:eastAsia="en-US" w:bidi="en-US"/>
        </w:rPr>
        <w:t>ozporządzenie</w:t>
      </w:r>
      <w:r>
        <w:rPr>
          <w:color w:val="000000"/>
          <w:szCs w:val="20"/>
          <w:lang w:val="en-US" w:eastAsia="en-US" w:bidi="en-US"/>
        </w:rPr>
        <w:t>m Ministra Gospodarki z dnia 26 kwietnia 2013 r. w sprawie warunków technicznych, jakim powinny odpowiadać sieci gazowe i ich usytuowanie (Dz. U. poz. 640).</w:t>
      </w:r>
    </w:p>
    <w:p w:rsidR="00F60E7E" w:rsidRDefault="00205CFE">
      <w:pPr>
        <w:spacing w:before="320"/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Ustalenia planu miejscowego określają m.in.: przeznaczenie terenów, zasady zabudowy i zagospodarowa</w:t>
      </w:r>
      <w:r>
        <w:rPr>
          <w:color w:val="000000"/>
          <w:szCs w:val="20"/>
          <w:lang w:val="en-US" w:eastAsia="en-US" w:bidi="en-US"/>
        </w:rPr>
        <w:t>nia terenów, wymagania wynikające z potrzeb kształtowania przestrzeni publicznych, zasady ochrony środowiska, przyrody i krajobrazu oraz zasady kształtowania krajobrazu, zasady modernizacji, rozbudowy i budowy systemów komunikacji oraz systemowe rozwiązani</w:t>
      </w:r>
      <w:r>
        <w:rPr>
          <w:color w:val="000000"/>
          <w:szCs w:val="20"/>
          <w:lang w:val="en-US" w:eastAsia="en-US" w:bidi="en-US"/>
        </w:rPr>
        <w:t>a w zakresie infrastruktury technicznej. Standardy zagospodarowania i użytkowania terenów, które plan kształtuje, uwzględniają potrzeby ochrony teren</w:t>
      </w:r>
      <w:r>
        <w:rPr>
          <w:color w:val="000000"/>
          <w:szCs w:val="20"/>
          <w:lang w:eastAsia="en-US" w:bidi="ar-SA"/>
        </w:rPr>
        <w:t>ów bezpośredniego sąsiedztwa</w:t>
      </w:r>
      <w:r>
        <w:rPr>
          <w:color w:val="000000"/>
          <w:szCs w:val="20"/>
          <w:lang w:val="en-US" w:eastAsia="en-US" w:bidi="en-US"/>
        </w:rPr>
        <w:t xml:space="preserve"> doliny rzeki Jasieniec</w:t>
      </w:r>
      <w:r>
        <w:rPr>
          <w:color w:val="000000"/>
          <w:szCs w:val="20"/>
          <w:lang w:eastAsia="en-US" w:bidi="ar-SA"/>
        </w:rPr>
        <w:t>, cieku z Huty Jagodnica</w:t>
      </w:r>
      <w:r>
        <w:rPr>
          <w:color w:val="000000"/>
          <w:szCs w:val="20"/>
          <w:lang w:val="en-US" w:eastAsia="en-US" w:bidi="en-US"/>
        </w:rPr>
        <w:t xml:space="preserve"> oraz terenów otwartych, stanowi</w:t>
      </w:r>
      <w:r>
        <w:rPr>
          <w:color w:val="000000"/>
          <w:szCs w:val="20"/>
          <w:lang w:val="en-US" w:eastAsia="en-US" w:bidi="en-US"/>
        </w:rPr>
        <w:t>ących system przyrodniczy Miasta, przed narastającą presją urbanistyczną.</w:t>
      </w:r>
    </w:p>
    <w:p w:rsidR="00F60E7E" w:rsidRDefault="00205CFE">
      <w:pPr>
        <w:ind w:firstLine="72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eastAsia="en-US" w:bidi="ar-SA"/>
        </w:rPr>
        <w:t xml:space="preserve">W projekcie planu wyznaczono </w:t>
      </w:r>
      <w:r>
        <w:rPr>
          <w:color w:val="000000"/>
          <w:szCs w:val="20"/>
          <w:lang w:val="en-US" w:eastAsia="en-US" w:bidi="en-US"/>
        </w:rPr>
        <w:t xml:space="preserve">teren komunikacji drogowej </w:t>
      </w:r>
      <w:r>
        <w:rPr>
          <w:color w:val="000000"/>
          <w:szCs w:val="20"/>
        </w:rPr>
        <w:t>publicznej</w:t>
      </w:r>
      <w:r>
        <w:rPr>
          <w:color w:val="000000"/>
          <w:szCs w:val="20"/>
          <w:lang w:val="en-US" w:eastAsia="en-US" w:bidi="en-US"/>
        </w:rPr>
        <w:t xml:space="preserve"> o symbolu 1K</w:t>
      </w:r>
      <w:r>
        <w:rPr>
          <w:color w:val="000000"/>
          <w:szCs w:val="20"/>
        </w:rPr>
        <w:t>DD</w:t>
      </w:r>
      <w:r>
        <w:rPr>
          <w:color w:val="000000"/>
          <w:szCs w:val="20"/>
          <w:lang w:eastAsia="en-US" w:bidi="ar-SA"/>
        </w:rPr>
        <w:t xml:space="preserve"> w przebiegu drogi publicznej - ul. Huta Jagodnica </w:t>
      </w:r>
      <w:r>
        <w:rPr>
          <w:color w:val="000000"/>
          <w:szCs w:val="20"/>
          <w:lang w:val="en-US" w:eastAsia="en-US" w:bidi="en-US"/>
        </w:rPr>
        <w:t>zaliczon</w:t>
      </w:r>
      <w:r>
        <w:rPr>
          <w:color w:val="000000"/>
          <w:szCs w:val="20"/>
          <w:lang w:eastAsia="en-US" w:bidi="ar-SA"/>
        </w:rPr>
        <w:t>ej</w:t>
      </w:r>
      <w:r>
        <w:rPr>
          <w:color w:val="000000"/>
          <w:szCs w:val="20"/>
          <w:lang w:val="en-US" w:eastAsia="en-US" w:bidi="en-US"/>
        </w:rPr>
        <w:t xml:space="preserve"> w wykazie ulic na terenie miasta Łodzi </w:t>
      </w:r>
      <w:r>
        <w:rPr>
          <w:color w:val="000000"/>
          <w:szCs w:val="20"/>
          <w:lang w:val="en-US" w:eastAsia="en-US" w:bidi="en-US"/>
        </w:rPr>
        <w:t>do kategorii dróg gminnych.</w:t>
      </w:r>
    </w:p>
    <w:p w:rsidR="00F60E7E" w:rsidRDefault="00F60E7E">
      <w:pPr>
        <w:spacing w:after="27"/>
        <w:ind w:left="567" w:hanging="284"/>
        <w:rPr>
          <w:color w:val="000000"/>
          <w:szCs w:val="20"/>
          <w:lang w:val="en-US" w:eastAsia="en-US" w:bidi="en-US"/>
        </w:rPr>
      </w:pPr>
    </w:p>
    <w:p w:rsidR="00F60E7E" w:rsidRDefault="00205CFE">
      <w:pPr>
        <w:spacing w:after="320"/>
        <w:ind w:firstLine="720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lang w:val="en-US" w:eastAsia="en-US" w:bidi="en-US"/>
        </w:rPr>
        <w:t>Procedura formalno-prawna sporządzenia planu miejscowego została przeprowadzona w trybie art. 17 ustawy</w:t>
      </w:r>
      <w:r>
        <w:rPr>
          <w:color w:val="000000"/>
          <w:szCs w:val="20"/>
          <w:lang w:eastAsia="en-US" w:bidi="ar-SA"/>
        </w:rPr>
        <w:t xml:space="preserve">. </w:t>
      </w:r>
      <w:r>
        <w:rPr>
          <w:color w:val="000000"/>
          <w:szCs w:val="20"/>
          <w:lang w:val="en-US" w:eastAsia="en-US" w:bidi="en-US"/>
        </w:rPr>
        <w:t xml:space="preserve">Rysunek planu został sporządzony na kopii mapy zasadniczej w skali 1:2000 w związku z wprowadzeniem zakazu zabudowy na </w:t>
      </w:r>
      <w:r>
        <w:rPr>
          <w:color w:val="000000"/>
          <w:szCs w:val="20"/>
          <w:lang w:val="en-US" w:eastAsia="en-US" w:bidi="en-US"/>
        </w:rPr>
        <w:t>całym obszarze objętym projektem planu, zgodnie z dopuszczeniem wynikającym z art. 16 ustawy</w:t>
      </w:r>
      <w:r>
        <w:rPr>
          <w:color w:val="000000"/>
          <w:szCs w:val="20"/>
          <w:lang w:eastAsia="en-US" w:bidi="ar-SA"/>
        </w:rPr>
        <w:t xml:space="preserve">. </w:t>
      </w:r>
    </w:p>
    <w:p w:rsidR="00F60E7E" w:rsidRDefault="00205CFE">
      <w:pPr>
        <w:rPr>
          <w:color w:val="000000"/>
          <w:szCs w:val="20"/>
          <w:lang w:eastAsia="en-US" w:bidi="ar-SA"/>
        </w:rPr>
      </w:pPr>
      <w:r>
        <w:rPr>
          <w:b/>
          <w:color w:val="000000"/>
          <w:szCs w:val="20"/>
          <w:lang w:eastAsia="en-US" w:bidi="ar-SA"/>
        </w:rPr>
        <w:t xml:space="preserve">I. Sposób realizacji wymogów wynikających z art. 1 ust. 2-4 ustawy z dnia 27 marca 2003 r. o planowaniu i zagospodarowaniu przestrzennym. </w:t>
      </w:r>
    </w:p>
    <w:p w:rsidR="00F60E7E" w:rsidRDefault="00F60E7E">
      <w:pPr>
        <w:rPr>
          <w:color w:val="000000"/>
          <w:szCs w:val="20"/>
          <w:lang w:eastAsia="en-US" w:bidi="ar-SA"/>
        </w:rPr>
      </w:pPr>
    </w:p>
    <w:p w:rsidR="00F60E7E" w:rsidRDefault="00205CFE">
      <w:pPr>
        <w:numPr>
          <w:ilvl w:val="6"/>
          <w:numId w:val="1"/>
        </w:numPr>
        <w:ind w:left="567" w:hanging="283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eastAsia="en-US" w:bidi="ar-SA"/>
        </w:rPr>
        <w:t>W projekcie planu ora</w:t>
      </w:r>
      <w:r>
        <w:rPr>
          <w:color w:val="000000"/>
          <w:szCs w:val="20"/>
          <w:lang w:eastAsia="en-US" w:bidi="ar-SA"/>
        </w:rPr>
        <w:t xml:space="preserve">z w trakcie procedury jego sporządzania </w:t>
      </w:r>
      <w:r>
        <w:rPr>
          <w:color w:val="000000"/>
          <w:szCs w:val="20"/>
          <w:lang w:val="en-US" w:eastAsia="en-US" w:bidi="en-US"/>
        </w:rPr>
        <w:t>uwzględniono: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wymagania ładu przestrzennego, w tym urbanistyki i architektury, poprzez określenie:</w:t>
      </w:r>
      <w:r>
        <w:rPr>
          <w:color w:val="000000"/>
          <w:szCs w:val="20"/>
          <w:lang w:eastAsia="en-US" w:bidi="ar-SA"/>
        </w:rPr>
        <w:t xml:space="preserve"> </w:t>
      </w:r>
      <w:r>
        <w:rPr>
          <w:color w:val="000000"/>
          <w:szCs w:val="20"/>
          <w:lang w:val="en-US" w:eastAsia="en-US" w:bidi="en-US"/>
        </w:rPr>
        <w:t>linii rozgraniczających, przeznaczenia terenów, zasad i wskaźników zagospodarowania terenów, parametrów kształtowania</w:t>
      </w:r>
      <w:r>
        <w:rPr>
          <w:color w:val="000000"/>
          <w:szCs w:val="20"/>
          <w:lang w:val="en-US" w:eastAsia="en-US" w:bidi="en-US"/>
        </w:rPr>
        <w:t xml:space="preserve"> zabudowy oraz wymagań w zakresie kształtowania przestrzeni publicznych; 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potrzeby zrównoważonego rozwoju</w:t>
      </w:r>
      <w:r>
        <w:rPr>
          <w:color w:val="000000"/>
          <w:szCs w:val="20"/>
        </w:rPr>
        <w:t xml:space="preserve"> poprzez </w:t>
      </w:r>
      <w:r>
        <w:rPr>
          <w:color w:val="000000"/>
          <w:szCs w:val="20"/>
          <w:lang w:eastAsia="en-US" w:bidi="ar-SA"/>
        </w:rPr>
        <w:t>określenie przeznaczenia terenów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eastAsia="en-US" w:bidi="ar-SA"/>
        </w:rPr>
        <w:t xml:space="preserve">spójnego </w:t>
      </w:r>
      <w:r>
        <w:rPr>
          <w:color w:val="000000"/>
          <w:szCs w:val="20"/>
        </w:rPr>
        <w:br/>
      </w:r>
      <w:r>
        <w:rPr>
          <w:color w:val="000000"/>
          <w:szCs w:val="20"/>
          <w:lang w:eastAsia="en-US" w:bidi="ar-SA"/>
        </w:rPr>
        <w:t xml:space="preserve">z polityką przestrzenną Miasta wyrażoną w </w:t>
      </w:r>
      <w:r>
        <w:rPr>
          <w:color w:val="000000"/>
          <w:szCs w:val="20"/>
        </w:rPr>
        <w:t>S</w:t>
      </w:r>
      <w:r>
        <w:rPr>
          <w:color w:val="000000"/>
          <w:szCs w:val="20"/>
          <w:lang w:eastAsia="en-US" w:bidi="ar-SA"/>
        </w:rPr>
        <w:t>tudium uwarunkowań i kierunków zagospodarowania przestrz</w:t>
      </w:r>
      <w:r>
        <w:rPr>
          <w:color w:val="000000"/>
          <w:szCs w:val="20"/>
          <w:lang w:eastAsia="en-US" w:bidi="ar-SA"/>
        </w:rPr>
        <w:t>ennego</w:t>
      </w:r>
      <w:r>
        <w:rPr>
          <w:color w:val="000000"/>
          <w:szCs w:val="20"/>
        </w:rPr>
        <w:t xml:space="preserve">, zachowanie i </w:t>
      </w:r>
      <w:r>
        <w:rPr>
          <w:color w:val="000000"/>
          <w:szCs w:val="20"/>
          <w:lang w:eastAsia="en-US" w:bidi="ar-SA"/>
        </w:rPr>
        <w:t>ochron</w:t>
      </w:r>
      <w:r>
        <w:rPr>
          <w:color w:val="000000"/>
          <w:szCs w:val="20"/>
        </w:rPr>
        <w:t>ę</w:t>
      </w:r>
      <w:r>
        <w:rPr>
          <w:color w:val="000000"/>
          <w:szCs w:val="20"/>
          <w:lang w:eastAsia="en-US" w:bidi="ar-SA"/>
        </w:rPr>
        <w:t xml:space="preserve"> terenów zieleni stanowiących system przyrodniczy </w:t>
      </w:r>
      <w:r>
        <w:rPr>
          <w:color w:val="000000"/>
          <w:szCs w:val="20"/>
        </w:rPr>
        <w:t>m</w:t>
      </w:r>
      <w:r>
        <w:rPr>
          <w:color w:val="000000"/>
          <w:szCs w:val="20"/>
          <w:lang w:eastAsia="en-US" w:bidi="ar-SA"/>
        </w:rPr>
        <w:t>iasta</w:t>
      </w:r>
      <w:r>
        <w:rPr>
          <w:color w:val="000000"/>
          <w:szCs w:val="20"/>
        </w:rPr>
        <w:t xml:space="preserve"> Łodzi</w:t>
      </w:r>
      <w:r>
        <w:rPr>
          <w:color w:val="000000"/>
          <w:szCs w:val="20"/>
          <w:lang w:eastAsia="en-US" w:bidi="ar-SA"/>
        </w:rPr>
        <w:t xml:space="preserve"> pełniący</w:t>
      </w:r>
      <w:r>
        <w:rPr>
          <w:color w:val="000000"/>
          <w:szCs w:val="20"/>
        </w:rPr>
        <w:t>ch</w:t>
      </w:r>
      <w:r>
        <w:rPr>
          <w:color w:val="000000"/>
          <w:szCs w:val="20"/>
          <w:lang w:eastAsia="en-US" w:bidi="ar-SA"/>
        </w:rPr>
        <w:t xml:space="preserve"> rolę rekreacyjno-wypoczynkową </w:t>
      </w:r>
      <w:r>
        <w:rPr>
          <w:color w:val="000000"/>
          <w:szCs w:val="20"/>
        </w:rPr>
        <w:br/>
      </w:r>
      <w:r>
        <w:rPr>
          <w:color w:val="000000"/>
          <w:szCs w:val="20"/>
          <w:lang w:eastAsia="en-US" w:bidi="ar-SA"/>
        </w:rPr>
        <w:t>i klimatyczno-biologiczną</w:t>
      </w:r>
      <w:r>
        <w:rPr>
          <w:color w:val="000000"/>
          <w:szCs w:val="20"/>
        </w:rPr>
        <w:t xml:space="preserve">, </w:t>
      </w:r>
      <w:r>
        <w:rPr>
          <w:color w:val="000000"/>
          <w:szCs w:val="20"/>
          <w:lang w:eastAsia="en-US" w:bidi="ar-SA"/>
        </w:rPr>
        <w:t>w tym zapewnienie ciągłości korytarza ekologicznego, jakim jest dolina cieku – dopływu rzeki Jas</w:t>
      </w:r>
      <w:r>
        <w:rPr>
          <w:color w:val="000000"/>
          <w:szCs w:val="20"/>
          <w:lang w:eastAsia="en-US" w:bidi="ar-SA"/>
        </w:rPr>
        <w:t>ieniec</w:t>
      </w:r>
      <w:r>
        <w:rPr>
          <w:color w:val="000000"/>
          <w:szCs w:val="20"/>
        </w:rPr>
        <w:t>;</w:t>
      </w:r>
    </w:p>
    <w:p w:rsidR="00F60E7E" w:rsidRDefault="00205CFE">
      <w:pPr>
        <w:numPr>
          <w:ilvl w:val="1"/>
          <w:numId w:val="2"/>
        </w:numPr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lastRenderedPageBreak/>
        <w:t>walory architektoniczne i krajobrazowe dzięki ustaleniom dotyczącym zagospodarowania terenów, w szczególności terenów rolnictwa z zakazem zabudowy lub zieleni naturalnej oraz ustalonym zasadom sytuowania infrastruktury technicznej;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wymagania ochron</w:t>
      </w:r>
      <w:r>
        <w:rPr>
          <w:color w:val="000000"/>
          <w:szCs w:val="20"/>
          <w:lang w:val="en-US" w:eastAsia="en-US" w:bidi="en-US"/>
        </w:rPr>
        <w:t xml:space="preserve">y środowiska, w tym gospodarowania wodami i ochrony gruntów rolnych poprzez wprowadzenie: </w:t>
      </w:r>
    </w:p>
    <w:p w:rsidR="00F60E7E" w:rsidRDefault="00205CFE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zakazu lokalizacji przedsięwzięć mogących znacząco oddziaływać na środowisko, z określonymi w uchwale wyjątkami,</w:t>
      </w:r>
    </w:p>
    <w:p w:rsidR="00F60E7E" w:rsidRDefault="00205CFE">
      <w:pPr>
        <w:keepLines/>
        <w:numPr>
          <w:ilvl w:val="0"/>
          <w:numId w:val="3"/>
        </w:numPr>
        <w:spacing w:line="276" w:lineRule="auto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i kształtowania krajobraz</w:t>
      </w:r>
      <w:r>
        <w:rPr>
          <w:color w:val="000000"/>
          <w:szCs w:val="20"/>
          <w:lang w:val="en-US" w:eastAsia="en-US" w:bidi="en-US"/>
        </w:rPr>
        <w:t>u</w:t>
      </w:r>
      <w:r>
        <w:rPr>
          <w:color w:val="000000"/>
          <w:szCs w:val="20"/>
          <w:lang w:eastAsia="en-US" w:bidi="ar-SA"/>
        </w:rPr>
        <w:t>,</w:t>
      </w:r>
    </w:p>
    <w:p w:rsidR="00F60E7E" w:rsidRDefault="00205CFE">
      <w:pPr>
        <w:keepLines/>
        <w:numPr>
          <w:ilvl w:val="0"/>
          <w:numId w:val="3"/>
        </w:numPr>
        <w:spacing w:line="276" w:lineRule="auto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wód,</w:t>
      </w:r>
    </w:p>
    <w:p w:rsidR="00F60E7E" w:rsidRDefault="00205CFE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gospodarki wodnej i odprowadzania ścieków,</w:t>
      </w:r>
    </w:p>
    <w:p w:rsidR="00F60E7E" w:rsidRDefault="00205CFE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powierzchni ziemi oraz gospodarki odpadami,</w:t>
      </w:r>
    </w:p>
    <w:p w:rsidR="00F60E7E" w:rsidRDefault="00205CFE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powietrza,</w:t>
      </w:r>
    </w:p>
    <w:p w:rsidR="00F60E7E" w:rsidRDefault="00205CFE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przed polami elektromag</w:t>
      </w:r>
      <w:r>
        <w:rPr>
          <w:color w:val="000000"/>
          <w:szCs w:val="20"/>
          <w:lang w:val="en-US" w:eastAsia="en-US" w:bidi="en-US"/>
        </w:rPr>
        <w:t>netycznymi,</w:t>
      </w:r>
    </w:p>
    <w:p w:rsidR="00F60E7E" w:rsidRDefault="00205CFE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klasyfikacji istniejącej zabudowy mieszkaniowej pod kątem ochrony akustycznej, w rozumieniu przepisów odrębnych,</w:t>
      </w:r>
    </w:p>
    <w:p w:rsidR="00F60E7E" w:rsidRDefault="00205CFE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dla gruntów rolnych – przeznaczenia m.in. pod teren rolnictwa z zakazem zabudowy;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wymagania</w:t>
      </w:r>
      <w:r>
        <w:rPr>
          <w:color w:val="000000"/>
          <w:szCs w:val="20"/>
          <w:lang w:eastAsia="en-US" w:bidi="ar-SA"/>
        </w:rPr>
        <w:t xml:space="preserve"> </w:t>
      </w:r>
      <w:r>
        <w:rPr>
          <w:color w:val="000000"/>
          <w:szCs w:val="20"/>
          <w:lang w:val="en-US" w:eastAsia="en-US" w:bidi="en-US"/>
        </w:rPr>
        <w:t xml:space="preserve">ochrony dziedzictwa kulturowego i </w:t>
      </w:r>
      <w:r>
        <w:rPr>
          <w:color w:val="000000"/>
          <w:szCs w:val="20"/>
          <w:lang w:val="en-US" w:eastAsia="en-US" w:bidi="en-US"/>
        </w:rPr>
        <w:t xml:space="preserve">zabytków poprzez </w:t>
      </w:r>
      <w:r>
        <w:rPr>
          <w:color w:val="000000"/>
          <w:szCs w:val="20"/>
          <w:lang w:eastAsia="en-US" w:bidi="ar-SA"/>
        </w:rPr>
        <w:t>wskazanie</w:t>
      </w:r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  <w:lang w:eastAsia="en-US" w:bidi="ar-SA"/>
        </w:rPr>
        <w:t xml:space="preserve">zabytków archeologicznych oraz </w:t>
      </w:r>
      <w:r>
        <w:rPr>
          <w:color w:val="000000"/>
          <w:szCs w:val="20"/>
          <w:lang w:val="en-US" w:eastAsia="en-US" w:bidi="en-US"/>
        </w:rPr>
        <w:t xml:space="preserve">stref ochrony </w:t>
      </w:r>
      <w:r>
        <w:rPr>
          <w:color w:val="000000"/>
          <w:szCs w:val="20"/>
          <w:lang w:eastAsia="en-US" w:bidi="ar-SA"/>
        </w:rPr>
        <w:t>archeologicznej</w:t>
      </w:r>
      <w:r>
        <w:rPr>
          <w:color w:val="000000"/>
          <w:szCs w:val="20"/>
          <w:lang w:val="en-US" w:eastAsia="en-US" w:bidi="en-US"/>
        </w:rPr>
        <w:t xml:space="preserve"> i przyjęcie dla ni</w:t>
      </w:r>
      <w:r>
        <w:rPr>
          <w:color w:val="000000"/>
          <w:szCs w:val="20"/>
          <w:lang w:eastAsia="en-US" w:bidi="ar-SA"/>
        </w:rPr>
        <w:t>ch</w:t>
      </w:r>
      <w:r>
        <w:rPr>
          <w:color w:val="000000"/>
          <w:szCs w:val="20"/>
          <w:lang w:val="en-US" w:eastAsia="en-US" w:bidi="en-US"/>
        </w:rPr>
        <w:t xml:space="preserve"> ustaleń</w:t>
      </w:r>
      <w:r>
        <w:rPr>
          <w:color w:val="000000"/>
          <w:szCs w:val="20"/>
          <w:lang w:eastAsia="en-US" w:bidi="ar-SA"/>
        </w:rPr>
        <w:t>; w </w:t>
      </w:r>
      <w:r>
        <w:rPr>
          <w:color w:val="000000"/>
          <w:szCs w:val="20"/>
          <w:lang w:val="en-US" w:eastAsia="en-US" w:bidi="en-US"/>
        </w:rPr>
        <w:t xml:space="preserve">projekcie planu nie uwzględniono wymogu ochrony dóbr kultury współczesnej – </w:t>
      </w:r>
      <w:r>
        <w:rPr>
          <w:color w:val="000000"/>
          <w:szCs w:val="20"/>
          <w:lang w:eastAsia="en-US" w:bidi="ar-SA"/>
        </w:rPr>
        <w:br/>
      </w:r>
      <w:r>
        <w:rPr>
          <w:color w:val="000000"/>
          <w:szCs w:val="20"/>
          <w:lang w:val="en-US" w:eastAsia="en-US" w:bidi="en-US"/>
        </w:rPr>
        <w:t>ze względu na brak takich obiektów</w:t>
      </w:r>
      <w:r>
        <w:rPr>
          <w:color w:val="000000"/>
          <w:szCs w:val="20"/>
          <w:lang w:eastAsia="en-US" w:bidi="ar-SA"/>
        </w:rPr>
        <w:t>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wymagania ochrony zdrow</w:t>
      </w:r>
      <w:r>
        <w:rPr>
          <w:color w:val="000000"/>
          <w:szCs w:val="20"/>
          <w:lang w:val="en-US" w:eastAsia="en-US" w:bidi="en-US"/>
        </w:rPr>
        <w:t xml:space="preserve">ia oraz bezpieczeństwa ludzi i mienia, a także potrzeby osób </w:t>
      </w:r>
      <w:r>
        <w:rPr>
          <w:color w:val="000000"/>
          <w:szCs w:val="20"/>
          <w:lang w:eastAsia="en-US" w:bidi="ar-SA"/>
        </w:rPr>
        <w:br/>
      </w:r>
      <w:r>
        <w:rPr>
          <w:color w:val="000000"/>
          <w:szCs w:val="20"/>
          <w:lang w:val="en-US" w:eastAsia="en-US" w:bidi="en-US"/>
        </w:rPr>
        <w:t>ze szczególnymi potrzebami, poprzez określenie zasad ochrony środowiska oraz ustalenie wymagań wynikających z potrzeb kształtowania przestrzeni publicznych;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walory ekonomiczne przestrzeni, ustal</w:t>
      </w:r>
      <w:r>
        <w:rPr>
          <w:color w:val="000000"/>
          <w:szCs w:val="20"/>
          <w:lang w:val="en-US" w:eastAsia="en-US" w:bidi="en-US"/>
        </w:rPr>
        <w:t>ając przeznaczenia poszczególnych terenów, uwzględniające ich istniejące użytkowanie z zachowaniem wymogów ochrony środowiska oraz umożliwiając racjonalne zagospodarowanie obszaru, poprzez wykorzystanie istniejących elementów wyposażenia technicznego i zag</w:t>
      </w:r>
      <w:r>
        <w:rPr>
          <w:color w:val="000000"/>
          <w:szCs w:val="20"/>
          <w:lang w:val="en-US" w:eastAsia="en-US" w:bidi="en-US"/>
        </w:rPr>
        <w:t xml:space="preserve">ospodarowania terenu; 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prawo własności, poprzez kształtowanie zagospodarowania zgodnie z dotychczasowym przeznaczeniem i w sposób racjonalnie ingerujący w tereny stanowiące własność prywatną, ograniczony do uzasadnionych potrzeb wynikających z interesu pub</w:t>
      </w:r>
      <w:r>
        <w:rPr>
          <w:color w:val="000000"/>
          <w:szCs w:val="20"/>
          <w:lang w:val="en-US" w:eastAsia="en-US" w:bidi="en-US"/>
        </w:rPr>
        <w:t xml:space="preserve">licznego oraz wymogami ochrony środowiska i ładu przestrzennego; 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potrzeby obronności i bezpieczeństwa państwa ustalając ograniczenia w sposobie zagospodarowania terenu poprzez określenie maksymalnej wysokości zabudowy, a także dostosowanie sieci i urządze</w:t>
      </w:r>
      <w:r>
        <w:rPr>
          <w:color w:val="000000"/>
          <w:szCs w:val="20"/>
          <w:lang w:val="en-US" w:eastAsia="en-US" w:bidi="en-US"/>
        </w:rPr>
        <w:t>ń infrastruktury do działań w sytuacjach szczególnych zagrożeń;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potrzeby interesu publicznego, wskazując tereny współtworzące system przyrodniczy Miasta, w tym </w:t>
      </w:r>
      <w:r>
        <w:rPr>
          <w:color w:val="000000"/>
          <w:szCs w:val="20"/>
          <w:lang w:eastAsia="en-US" w:bidi="ar-SA"/>
        </w:rPr>
        <w:t xml:space="preserve">ciek z Huty Jagodnica i </w:t>
      </w:r>
      <w:r>
        <w:rPr>
          <w:color w:val="000000"/>
          <w:szCs w:val="20"/>
          <w:lang w:val="en-US" w:eastAsia="en-US" w:bidi="en-US"/>
        </w:rPr>
        <w:t xml:space="preserve">tereny zieleni naturalnej, do utrzymania i ochrony; 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potrzeby w zakresie</w:t>
      </w:r>
      <w:r>
        <w:rPr>
          <w:color w:val="000000"/>
          <w:szCs w:val="20"/>
          <w:lang w:val="en-US" w:eastAsia="en-US" w:bidi="en-US"/>
        </w:rPr>
        <w:t xml:space="preserve"> rozwoju infrastruktury technicznej, </w:t>
      </w:r>
      <w:r>
        <w:rPr>
          <w:color w:val="000000"/>
          <w:szCs w:val="20"/>
          <w:u w:color="000000"/>
          <w:lang w:eastAsia="en-US" w:bidi="ar-SA"/>
        </w:rPr>
        <w:t>w szczególności sieci szerokopasmowych,</w:t>
      </w:r>
      <w:r>
        <w:rPr>
          <w:color w:val="000000"/>
          <w:szCs w:val="20"/>
          <w:lang w:val="en-US" w:eastAsia="en-US" w:bidi="en-US"/>
        </w:rPr>
        <w:t xml:space="preserve"> określając możliwość wyposażeni</w:t>
      </w:r>
      <w:r>
        <w:rPr>
          <w:color w:val="000000"/>
          <w:szCs w:val="20"/>
          <w:lang w:eastAsia="en-US" w:bidi="ar-SA"/>
        </w:rPr>
        <w:t>a</w:t>
      </w:r>
      <w:r>
        <w:rPr>
          <w:color w:val="000000"/>
          <w:szCs w:val="20"/>
          <w:lang w:val="en-US" w:eastAsia="en-US" w:bidi="en-US"/>
        </w:rPr>
        <w:t xml:space="preserve"> terenów w infrastrukturę techniczną oraz ustalając zasady jej realizacji stosownie do problematyki planu; 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zapewnienie udziału społeczeństwa w pra</w:t>
      </w:r>
      <w:r>
        <w:rPr>
          <w:color w:val="000000"/>
          <w:szCs w:val="20"/>
          <w:lang w:val="en-US" w:eastAsia="en-US" w:bidi="en-US"/>
        </w:rPr>
        <w:t>cach nad sporządzeniem aktu planowania przestrzennego – miejscowego planu zagospodarowania przestrzennego, w tym przy użyciu środków komunikacji elektronicznej, poprzez informacje na stronie internetowej Miejskiej Pracowni Urbanistycznej w Łodzi</w:t>
      </w:r>
      <w:r>
        <w:rPr>
          <w:color w:val="000000"/>
          <w:szCs w:val="20"/>
        </w:rPr>
        <w:t xml:space="preserve"> oraz</w:t>
      </w:r>
      <w:r>
        <w:rPr>
          <w:color w:val="000000"/>
          <w:szCs w:val="20"/>
          <w:lang w:val="en-US" w:eastAsia="en-US" w:bidi="en-US"/>
        </w:rPr>
        <w:t xml:space="preserve"> ogłos</w:t>
      </w:r>
      <w:r>
        <w:rPr>
          <w:color w:val="000000"/>
          <w:szCs w:val="20"/>
          <w:lang w:val="en-US" w:eastAsia="en-US" w:bidi="en-US"/>
        </w:rPr>
        <w:t>zenie w prasie</w:t>
      </w:r>
      <w:r>
        <w:rPr>
          <w:color w:val="000000"/>
          <w:szCs w:val="20"/>
        </w:rPr>
        <w:t xml:space="preserve"> i</w:t>
      </w:r>
      <w:r>
        <w:rPr>
          <w:color w:val="000000"/>
          <w:szCs w:val="20"/>
          <w:lang w:val="en-US" w:eastAsia="en-US" w:bidi="en-US"/>
        </w:rPr>
        <w:t xml:space="preserve"> na tablicach ogłoszeń o: </w:t>
      </w:r>
    </w:p>
    <w:p w:rsidR="00F60E7E" w:rsidRDefault="00205CFE">
      <w:pPr>
        <w:numPr>
          <w:ilvl w:val="2"/>
          <w:numId w:val="4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przystąpieniu do sporządzenia projektu planu,</w:t>
      </w:r>
      <w:r>
        <w:rPr>
          <w:color w:val="000000"/>
          <w:szCs w:val="20"/>
        </w:rPr>
        <w:t xml:space="preserve"> a także rozpoczęciu konsultacji społecznych w formie spotkania otwartego, dyżurów projektanta oraz zbierania uwag,</w:t>
      </w:r>
    </w:p>
    <w:p w:rsidR="00F60E7E" w:rsidRDefault="00205CFE">
      <w:pPr>
        <w:numPr>
          <w:ilvl w:val="2"/>
          <w:numId w:val="4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możliwości składania wniosków </w:t>
      </w:r>
      <w:r>
        <w:rPr>
          <w:color w:val="000000"/>
          <w:szCs w:val="20"/>
        </w:rPr>
        <w:t xml:space="preserve">i uwag </w:t>
      </w:r>
      <w:r>
        <w:rPr>
          <w:color w:val="000000"/>
          <w:szCs w:val="20"/>
          <w:lang w:val="en-US" w:eastAsia="en-US" w:bidi="en-US"/>
        </w:rPr>
        <w:t xml:space="preserve">do planu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na piśmie utrwalonym w postaci papierowej lub elektronicznej, w tym za pomocą środków komunikacji elektronicznej,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 xml:space="preserve">w szczególności poczty elektronicznej, na formularzu w postaci papierowej lub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w formie dokumentu elektronicznego</w:t>
      </w:r>
      <w:r>
        <w:rPr>
          <w:color w:val="000000"/>
          <w:szCs w:val="20"/>
          <w:lang w:val="en-US" w:eastAsia="en-US" w:bidi="en-US"/>
        </w:rPr>
        <w:t xml:space="preserve">, </w:t>
      </w:r>
    </w:p>
    <w:p w:rsidR="00F60E7E" w:rsidRDefault="00205CFE">
      <w:pPr>
        <w:numPr>
          <w:ilvl w:val="2"/>
          <w:numId w:val="4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możliwości zapoznania się</w:t>
      </w:r>
      <w:r>
        <w:rPr>
          <w:color w:val="000000"/>
          <w:szCs w:val="20"/>
          <w:lang w:val="en-US" w:eastAsia="en-US" w:bidi="en-US"/>
        </w:rPr>
        <w:t xml:space="preserve"> z niezbędną dokumentacją sprawy;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zachowanie jawności i przejrzystości procedur planistycznych, poprzez zastosowanie się do czynności formalno-prawnych określonych w art. 17 ustawy, jak również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>na podstawie art. 21, art. 39 i art. 54 ustawy z dnia 3 paźdz</w:t>
      </w:r>
      <w:r>
        <w:rPr>
          <w:color w:val="000000"/>
          <w:szCs w:val="20"/>
          <w:lang w:val="en-US" w:eastAsia="en-US" w:bidi="en-US"/>
        </w:rPr>
        <w:t>iernika 2008 r. o udostępni</w:t>
      </w:r>
      <w:r>
        <w:rPr>
          <w:color w:val="000000"/>
          <w:szCs w:val="20"/>
          <w:lang w:eastAsia="en-US" w:bidi="ar-SA"/>
        </w:rPr>
        <w:t>a</w:t>
      </w:r>
      <w:r>
        <w:rPr>
          <w:color w:val="000000"/>
          <w:szCs w:val="20"/>
          <w:lang w:val="en-US" w:eastAsia="en-US" w:bidi="en-US"/>
        </w:rPr>
        <w:t>niu informacji o środowisku i jego ochronie, udziale społeczeństwa w ochronie środowiska oraz o ocenach oddziaływania na środowisko (Dz. U. z 202</w:t>
      </w:r>
      <w:r>
        <w:rPr>
          <w:color w:val="000000"/>
          <w:szCs w:val="20"/>
        </w:rPr>
        <w:t>4</w:t>
      </w:r>
      <w:r>
        <w:rPr>
          <w:color w:val="000000"/>
          <w:szCs w:val="20"/>
          <w:lang w:val="en-US" w:eastAsia="en-US" w:bidi="en-US"/>
        </w:rPr>
        <w:t xml:space="preserve"> r. poz. </w:t>
      </w:r>
      <w:r>
        <w:rPr>
          <w:color w:val="000000"/>
          <w:szCs w:val="20"/>
        </w:rPr>
        <w:t>1112, 1881 i 1940</w:t>
      </w:r>
      <w:r>
        <w:rPr>
          <w:color w:val="000000"/>
          <w:szCs w:val="20"/>
          <w:lang w:val="en-US" w:eastAsia="en-US" w:bidi="en-US"/>
        </w:rPr>
        <w:t>) przeprowadzając strategiczną ocenę oddziaływania</w:t>
      </w:r>
      <w:r>
        <w:rPr>
          <w:color w:val="000000"/>
          <w:szCs w:val="20"/>
          <w:lang w:eastAsia="en-US" w:bidi="ar-SA"/>
        </w:rPr>
        <w:t xml:space="preserve"> </w:t>
      </w:r>
      <w:r>
        <w:rPr>
          <w:color w:val="000000"/>
          <w:szCs w:val="20"/>
          <w:lang w:val="en-US" w:eastAsia="en-US" w:bidi="en-US"/>
        </w:rPr>
        <w:t xml:space="preserve">na </w:t>
      </w:r>
      <w:r>
        <w:rPr>
          <w:color w:val="000000"/>
          <w:szCs w:val="20"/>
          <w:lang w:val="en-US" w:eastAsia="en-US" w:bidi="en-US"/>
        </w:rPr>
        <w:t>środowisko skutków realizacji przedmiotowego miejscowego planu zagospodarowania przestrzennego;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potrzebę zapewnienia odpowiedniej ilości i jakości wody do celów zaopatrzenia ludności poprzez wykorzystanie istniejącej sieci wodociągowej dla obsługi zabudowy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istniejącej;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potrzeby zapobiegania poważnym awariom i ograniczania skutków dla zdrowia ludzkiego i środowiska</w:t>
      </w:r>
      <w:r>
        <w:rPr>
          <w:color w:val="000000"/>
          <w:szCs w:val="20"/>
          <w:shd w:val="clear" w:color="auto" w:fill="FFFFFF"/>
        </w:rPr>
        <w:t xml:space="preserve"> poprzez </w:t>
      </w:r>
      <w:r>
        <w:rPr>
          <w:color w:val="000000"/>
          <w:szCs w:val="20"/>
          <w:lang w:eastAsia="en-US" w:bidi="ar-SA"/>
        </w:rPr>
        <w:t>ograniczenie możliwości zabudowy (tereny RN-ZN), zakaz lokalizacji przedsięwzięć mogących znacząco oddziaływać na środowisko,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en-US" w:eastAsia="en-US" w:bidi="en-US"/>
        </w:rPr>
        <w:t>z określony</w:t>
      </w:r>
      <w:r>
        <w:rPr>
          <w:color w:val="000000"/>
          <w:szCs w:val="20"/>
          <w:lang w:val="en-US" w:eastAsia="en-US" w:bidi="en-US"/>
        </w:rPr>
        <w:t>mi w uchwale wyjątkami</w:t>
      </w:r>
      <w:r>
        <w:rPr>
          <w:color w:val="000000"/>
          <w:szCs w:val="20"/>
          <w:lang w:eastAsia="en-US" w:bidi="ar-SA"/>
        </w:rPr>
        <w:t xml:space="preserve"> oraz </w:t>
      </w:r>
      <w:r>
        <w:rPr>
          <w:color w:val="000000"/>
          <w:szCs w:val="20"/>
        </w:rPr>
        <w:t>po</w:t>
      </w:r>
      <w:r>
        <w:rPr>
          <w:color w:val="000000"/>
          <w:szCs w:val="20"/>
          <w:lang w:eastAsia="en-US" w:bidi="ar-SA"/>
        </w:rPr>
        <w:t xml:space="preserve">przez zakaz </w:t>
      </w:r>
      <w:r>
        <w:rPr>
          <w:color w:val="000000"/>
          <w:szCs w:val="20"/>
        </w:rPr>
        <w:t xml:space="preserve">lokalizacji </w:t>
      </w:r>
      <w:r>
        <w:rPr>
          <w:color w:val="000000"/>
          <w:szCs w:val="20"/>
          <w:lang w:eastAsia="en-US" w:bidi="ar-SA"/>
        </w:rPr>
        <w:t xml:space="preserve">punktów zbierania </w:t>
      </w:r>
      <w:r>
        <w:rPr>
          <w:color w:val="000000"/>
          <w:szCs w:val="20"/>
        </w:rPr>
        <w:br/>
      </w:r>
      <w:r>
        <w:rPr>
          <w:color w:val="000000"/>
          <w:szCs w:val="20"/>
          <w:lang w:eastAsia="en-US" w:bidi="ar-SA"/>
        </w:rPr>
        <w:t>i przetwarzania odpadów, w tym złomu</w:t>
      </w:r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:rsidR="00F60E7E" w:rsidRDefault="00205CFE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potrzeby związane z kształtowaniem rolniczej przestrzeni produkcyjnej i rozwoju produkcji rolniczej</w:t>
      </w:r>
      <w:r>
        <w:rPr>
          <w:color w:val="000000"/>
          <w:szCs w:val="20"/>
          <w:shd w:val="clear" w:color="auto" w:fill="FFFFFF"/>
        </w:rPr>
        <w:t xml:space="preserve"> poprzez </w:t>
      </w:r>
      <w:r>
        <w:rPr>
          <w:color w:val="000000"/>
          <w:szCs w:val="20"/>
          <w:lang w:eastAsia="en-US" w:bidi="ar-SA"/>
        </w:rPr>
        <w:t>utrzymanie i ochronę terenów użytkowa</w:t>
      </w:r>
      <w:r>
        <w:rPr>
          <w:color w:val="000000"/>
          <w:szCs w:val="20"/>
          <w:lang w:eastAsia="en-US" w:bidi="ar-SA"/>
        </w:rPr>
        <w:t xml:space="preserve">nych rolniczo </w:t>
      </w:r>
      <w:r>
        <w:rPr>
          <w:color w:val="000000"/>
          <w:szCs w:val="20"/>
        </w:rPr>
        <w:br/>
      </w:r>
      <w:r>
        <w:rPr>
          <w:color w:val="000000"/>
          <w:szCs w:val="20"/>
          <w:lang w:eastAsia="en-US" w:bidi="ar-SA"/>
        </w:rPr>
        <w:t>i wyznaczenie terenów rolnictwa z zakazem zabudowy lub zieleni naturalnej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:rsidR="00F60E7E" w:rsidRDefault="00F60E7E">
      <w:pPr>
        <w:spacing w:after="27"/>
        <w:rPr>
          <w:color w:val="000000"/>
          <w:szCs w:val="20"/>
          <w:lang w:val="en-US" w:eastAsia="en-US" w:bidi="en-US"/>
        </w:rPr>
      </w:pPr>
    </w:p>
    <w:p w:rsidR="00F60E7E" w:rsidRDefault="00205CFE">
      <w:pPr>
        <w:numPr>
          <w:ilvl w:val="6"/>
          <w:numId w:val="1"/>
        </w:numPr>
        <w:ind w:left="0" w:firstLine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Ustalając przeznaczenie terenu, a także określając sposób zagospodarowania i korzystania z terenu, Prezydent Miasta Łodzi zważył interes publiczny i interesy prywatn</w:t>
      </w:r>
      <w:r>
        <w:rPr>
          <w:color w:val="000000"/>
          <w:szCs w:val="20"/>
          <w:lang w:val="en-US" w:eastAsia="en-US" w:bidi="en-US"/>
        </w:rPr>
        <w:t xml:space="preserve">e, </w:t>
      </w:r>
      <w:r>
        <w:rPr>
          <w:color w:val="000000"/>
          <w:szCs w:val="20"/>
          <w:shd w:val="clear" w:color="auto" w:fill="FFFFFF"/>
          <w:lang w:val="en-US" w:eastAsia="en-US" w:bidi="en-US"/>
        </w:rPr>
        <w:t>w tym zgłaszane w postaci wniosków</w:t>
      </w:r>
      <w:r>
        <w:rPr>
          <w:color w:val="000000"/>
          <w:szCs w:val="20"/>
          <w:shd w:val="clear" w:color="auto" w:fill="FFFFFF"/>
        </w:rPr>
        <w:t xml:space="preserve"> i uwag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lang w:val="en-US" w:eastAsia="en-US" w:bidi="en-US"/>
        </w:rPr>
        <w:t xml:space="preserve">zmierzające do ochrony istniejącego stanu zagospodarowania terenu,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jak i zmian w zakresie jego zagospodarowania, </w:t>
      </w:r>
      <w:r>
        <w:rPr>
          <w:color w:val="000000"/>
          <w:szCs w:val="20"/>
          <w:lang w:val="en-US" w:eastAsia="en-US" w:bidi="en-US"/>
        </w:rPr>
        <w:t>a także analizy ekonomiczne, środowiskowe i społeczne.</w:t>
      </w:r>
    </w:p>
    <w:p w:rsidR="00F60E7E" w:rsidRDefault="00205CFE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Do projektu miejscowego planu zagospodarow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ania przestrzennego w </w:t>
      </w:r>
      <w:r>
        <w:rPr>
          <w:color w:val="000000"/>
          <w:szCs w:val="20"/>
          <w:shd w:val="clear" w:color="auto" w:fill="FFFFFF"/>
          <w:lang w:val="ar-SA" w:eastAsia="ar-SA" w:bidi="ar-SA"/>
        </w:rPr>
        <w:t>termin</w:t>
      </w:r>
      <w:r>
        <w:rPr>
          <w:color w:val="000000"/>
          <w:szCs w:val="20"/>
          <w:shd w:val="clear" w:color="auto" w:fill="FFFFFF"/>
          <w:lang w:val="en-US" w:eastAsia="en-US" w:bidi="en-US"/>
        </w:rPr>
        <w:t>ie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>wnoszenia wniosków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, tj. od </w:t>
      </w:r>
      <w:r>
        <w:rPr>
          <w:color w:val="000000"/>
          <w:szCs w:val="20"/>
          <w:shd w:val="clear" w:color="auto" w:fill="FFFFFF"/>
          <w:lang w:eastAsia="en-US" w:bidi="ar-SA"/>
        </w:rPr>
        <w:t>2</w:t>
      </w:r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  <w:lang w:eastAsia="en-US" w:bidi="ar-SA"/>
        </w:rPr>
        <w:t>kwietnia</w:t>
      </w:r>
      <w:r>
        <w:rPr>
          <w:color w:val="000000"/>
          <w:szCs w:val="20"/>
          <w:lang w:val="en-US" w:eastAsia="en-US" w:bidi="en-US"/>
        </w:rPr>
        <w:t xml:space="preserve"> 202</w:t>
      </w:r>
      <w:r>
        <w:rPr>
          <w:color w:val="000000"/>
          <w:szCs w:val="20"/>
          <w:lang w:eastAsia="en-US" w:bidi="ar-SA"/>
        </w:rPr>
        <w:t>4</w:t>
      </w:r>
      <w:r>
        <w:rPr>
          <w:color w:val="000000"/>
          <w:szCs w:val="20"/>
          <w:lang w:val="en-US" w:eastAsia="en-US" w:bidi="en-US"/>
        </w:rPr>
        <w:t xml:space="preserve"> r. do </w:t>
      </w:r>
      <w:r>
        <w:rPr>
          <w:color w:val="000000"/>
          <w:szCs w:val="20"/>
          <w:lang w:eastAsia="en-US" w:bidi="ar-SA"/>
        </w:rPr>
        <w:t>23</w:t>
      </w:r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  <w:lang w:eastAsia="en-US" w:bidi="ar-SA"/>
        </w:rPr>
        <w:t>kwietnia</w:t>
      </w:r>
      <w:r>
        <w:rPr>
          <w:color w:val="000000"/>
          <w:szCs w:val="20"/>
          <w:lang w:val="en-US" w:eastAsia="en-US" w:bidi="en-US"/>
        </w:rPr>
        <w:t xml:space="preserve"> 202</w:t>
      </w:r>
      <w:r>
        <w:rPr>
          <w:color w:val="000000"/>
          <w:szCs w:val="20"/>
          <w:lang w:eastAsia="en-US" w:bidi="ar-SA"/>
        </w:rPr>
        <w:t>4</w:t>
      </w:r>
      <w:r>
        <w:rPr>
          <w:color w:val="000000"/>
          <w:szCs w:val="20"/>
          <w:lang w:val="en-US" w:eastAsia="en-US" w:bidi="en-US"/>
        </w:rPr>
        <w:t xml:space="preserve"> r.,</w:t>
      </w:r>
      <w:r>
        <w:rPr>
          <w:b/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  <w:lang w:eastAsia="en-US" w:bidi="ar-SA"/>
        </w:rPr>
        <w:t xml:space="preserve">wnioski </w:t>
      </w:r>
      <w:r>
        <w:rPr>
          <w:color w:val="000000"/>
          <w:szCs w:val="20"/>
          <w:shd w:val="clear" w:color="auto" w:fill="FFFFFF"/>
          <w:lang w:eastAsia="en-US" w:bidi="ar-SA"/>
        </w:rPr>
        <w:t>nie wpłynęły.</w:t>
      </w:r>
    </w:p>
    <w:p w:rsidR="00F60E7E" w:rsidRDefault="00205CFE">
      <w:pPr>
        <w:ind w:firstLine="425"/>
        <w:outlineLvl w:val="0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 xml:space="preserve">Projekt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miejscowego planu zagospodarowania przestrzennego </w:t>
      </w:r>
      <w:r>
        <w:rPr>
          <w:color w:val="000000"/>
          <w:szCs w:val="20"/>
          <w:shd w:val="clear" w:color="auto" w:fill="FFFFFF"/>
        </w:rPr>
        <w:t xml:space="preserve">został poddany konsultacjom społecznym w okresie od </w:t>
      </w:r>
      <w:r>
        <w:rPr>
          <w:color w:val="000000"/>
          <w:szCs w:val="20"/>
          <w:shd w:val="clear" w:color="auto" w:fill="FFFFFF"/>
          <w:lang w:eastAsia="en-US" w:bidi="ar-SA"/>
        </w:rPr>
        <w:t>25 lutego 2025 r. do 25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marca 2025 r.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W wyznaczonym terminie składania uwag, tj. od 25 lutego 2025 r. do 25 marca 2025 r., wpłynęło 9 uwag. </w:t>
      </w:r>
      <w:r>
        <w:rPr>
          <w:color w:val="000000"/>
          <w:szCs w:val="20"/>
          <w:shd w:val="clear" w:color="auto" w:fill="FFFFFF"/>
        </w:rPr>
        <w:t>Prezydent Miasta Łodzi zaproponował, aby nie uwzględnić uwag</w:t>
      </w:r>
      <w:r>
        <w:rPr>
          <w:color w:val="000000"/>
          <w:szCs w:val="20"/>
          <w:shd w:val="clear" w:color="auto" w:fill="FFFFFF"/>
          <w:lang w:eastAsia="en-US" w:bidi="ar-SA"/>
        </w:rPr>
        <w:t>.</w:t>
      </w:r>
    </w:p>
    <w:p w:rsidR="00F60E7E" w:rsidRDefault="00205CFE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Zaproponowane w planie rozwiązania przestrzenne i funkcjonalne są wynikiem an</w:t>
      </w:r>
      <w:r>
        <w:rPr>
          <w:color w:val="000000"/>
          <w:szCs w:val="20"/>
          <w:lang w:val="en-US" w:eastAsia="en-US" w:bidi="en-US"/>
        </w:rPr>
        <w:t xml:space="preserve">alizy obecnego stanu zagospodarowania </w:t>
      </w:r>
      <w:r>
        <w:rPr>
          <w:color w:val="000000"/>
          <w:szCs w:val="20"/>
        </w:rPr>
        <w:t>terenu</w:t>
      </w:r>
      <w:r>
        <w:rPr>
          <w:color w:val="000000"/>
          <w:szCs w:val="20"/>
          <w:lang w:val="en-US" w:eastAsia="en-US" w:bidi="en-US"/>
        </w:rPr>
        <w:t xml:space="preserve"> oraz potrzeb rozwojowych tej części miasta. W projekcie planu miejscowego uwzględniono ochronę istniejącego stanu zagospodarowania terenów poprzez utrzymanie dotychczasowych funkcji </w:t>
      </w:r>
      <w:r>
        <w:rPr>
          <w:color w:val="000000"/>
          <w:szCs w:val="20"/>
          <w:lang w:eastAsia="en-US" w:bidi="ar-SA"/>
        </w:rPr>
        <w:t>cieku z Huty Jagodnica</w:t>
      </w:r>
      <w:r>
        <w:rPr>
          <w:color w:val="000000"/>
          <w:szCs w:val="20"/>
          <w:lang w:val="en-US" w:eastAsia="en-US" w:bidi="en-US"/>
        </w:rPr>
        <w:t xml:space="preserve"> oraz t</w:t>
      </w:r>
      <w:r>
        <w:rPr>
          <w:color w:val="000000"/>
          <w:szCs w:val="20"/>
          <w:lang w:val="en-US" w:eastAsia="en-US" w:bidi="en-US"/>
        </w:rPr>
        <w:t>erenów otwartych, a także wskazanie kierunków rozwoju zmierzających do ich ochrony.</w:t>
      </w:r>
    </w:p>
    <w:p w:rsidR="00F60E7E" w:rsidRDefault="00205CFE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Przy wyborze ostatecznych rozwiązań pod uwagę brano także wnioski zgłaszane m.in. przez instytucje i ograny uprawnione do uzgadniania i opiniowania projektu planu oraz zale</w:t>
      </w:r>
      <w:r>
        <w:rPr>
          <w:color w:val="000000"/>
          <w:szCs w:val="20"/>
          <w:lang w:val="en-US" w:eastAsia="en-US" w:bidi="en-US"/>
        </w:rPr>
        <w:t xml:space="preserve">cenia wynikające z opracowania ekofizjograficznego i prognozy oddziaływania </w:t>
      </w:r>
      <w:r>
        <w:rPr>
          <w:color w:val="000000"/>
          <w:szCs w:val="20"/>
          <w:lang w:eastAsia="en-US" w:bidi="ar-SA"/>
        </w:rPr>
        <w:br/>
      </w:r>
      <w:r>
        <w:rPr>
          <w:color w:val="000000"/>
          <w:szCs w:val="20"/>
          <w:lang w:val="en-US" w:eastAsia="en-US" w:bidi="en-US"/>
        </w:rPr>
        <w:t>na środowisko. Podczas prac nad projektem planu miejscowego kierowano się jednocześnie potrzebą uporządkowania i właściwego ukształtowania ładu przestrzennego, koniecznością spełn</w:t>
      </w:r>
      <w:r>
        <w:rPr>
          <w:color w:val="000000"/>
          <w:szCs w:val="20"/>
          <w:lang w:val="en-US" w:eastAsia="en-US" w:bidi="en-US"/>
        </w:rPr>
        <w:t>ienia wymogów przepisów odrębnych oraz równoważeniem interesów publicznych i prywatnych.</w:t>
      </w:r>
    </w:p>
    <w:p w:rsidR="00F60E7E" w:rsidRDefault="00205CFE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lastRenderedPageBreak/>
        <w:t>Dla potrzeb projektu planu miejscowego, zgodnie z art. 17 pkt 4 ustawy, sporządzono prognozę oddziaływania na środowisko. Ponadto przeprowadzono analizę wpływu ustaleń</w:t>
      </w:r>
      <w:r>
        <w:rPr>
          <w:color w:val="000000"/>
          <w:szCs w:val="20"/>
          <w:lang w:val="en-US" w:eastAsia="en-US" w:bidi="en-US"/>
        </w:rPr>
        <w:t xml:space="preserve"> projektu miejscowego planu zagospodarowania przestrzennego na finanse publiczne.</w:t>
      </w:r>
    </w:p>
    <w:p w:rsidR="00F60E7E" w:rsidRDefault="00205CFE">
      <w:pPr>
        <w:ind w:firstLine="567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lang w:val="en-US" w:eastAsia="en-US" w:bidi="en-US"/>
        </w:rPr>
        <w:t>3. W projekcie planu nie przewiduje się możliwości sytuowania nowych budynków.</w:t>
      </w:r>
    </w:p>
    <w:p w:rsidR="00F60E7E" w:rsidRDefault="00F60E7E">
      <w:pPr>
        <w:ind w:firstLine="284"/>
        <w:contextualSpacing/>
        <w:rPr>
          <w:color w:val="000000"/>
          <w:szCs w:val="20"/>
          <w:lang w:val="en-US" w:eastAsia="en-US" w:bidi="en-US"/>
        </w:rPr>
      </w:pPr>
    </w:p>
    <w:p w:rsidR="00F60E7E" w:rsidRDefault="00205CFE">
      <w:pPr>
        <w:rPr>
          <w:b/>
          <w:color w:val="000000"/>
          <w:szCs w:val="20"/>
          <w:lang w:eastAsia="en-US" w:bidi="ar-SA"/>
        </w:rPr>
      </w:pPr>
      <w:r>
        <w:rPr>
          <w:b/>
          <w:color w:val="000000"/>
          <w:szCs w:val="20"/>
          <w:lang w:eastAsia="en-US" w:bidi="ar-SA"/>
        </w:rPr>
        <w:t xml:space="preserve">II. Zgodność z wynikami analizy dotyczącej oceny aktualności studium uwarunkowań i kierunków </w:t>
      </w:r>
      <w:r>
        <w:rPr>
          <w:b/>
          <w:color w:val="000000"/>
          <w:szCs w:val="20"/>
          <w:lang w:eastAsia="en-US" w:bidi="ar-SA"/>
        </w:rPr>
        <w:t>zagospodarowania przestrzennego oraz miejscowych planów zagospodarowania przestrzennego Łodzi oraz sposób uwzględnienia uniwersalnego projektowania.</w:t>
      </w:r>
    </w:p>
    <w:p w:rsidR="00F60E7E" w:rsidRDefault="00F60E7E">
      <w:pPr>
        <w:rPr>
          <w:b/>
          <w:color w:val="000000"/>
          <w:szCs w:val="20"/>
          <w:lang w:eastAsia="en-US" w:bidi="ar-SA"/>
        </w:rPr>
      </w:pPr>
    </w:p>
    <w:p w:rsidR="00F60E7E" w:rsidRDefault="00205CFE">
      <w:pPr>
        <w:ind w:firstLine="426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Zgodnie z wymogiem art. 32 ust. 1 ustawy w celu oceny aktualności studium i planów miejscowych Prezydent M</w:t>
      </w:r>
      <w:r>
        <w:rPr>
          <w:color w:val="000000"/>
          <w:szCs w:val="20"/>
          <w:lang w:val="en-US" w:eastAsia="en-US" w:bidi="en-US"/>
        </w:rPr>
        <w:t xml:space="preserve">iasta Łodzi dokonał analizy zmian w zagospodarowaniu przestrzennym. Wyniki analiz przekazał Radzie Miejskiej w Łodzi. W dniu 13 marca 2024 r. Rada Miejska w Łodzi, zgodnie z art. 32 ust. 2 ustawy, podjęła uchwałę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 xml:space="preserve">Nr LXXXVIII/2684/24 w sprawie aktualności </w:t>
      </w:r>
      <w:r>
        <w:rPr>
          <w:color w:val="000000"/>
          <w:szCs w:val="20"/>
          <w:lang w:val="en-US" w:eastAsia="en-US" w:bidi="en-US"/>
        </w:rPr>
        <w:t>Studium uwarunkowań i kierunków zagospodarowania przestrzennego oraz miejscowych planów zagospodarowania przestrzennego miasta Łodzi. Analiza ta wykazała, że nie zachodzi przesłanka, w której należałoby zweryfikować politykę przestrzenną miasta na obszarze</w:t>
      </w:r>
      <w:r>
        <w:rPr>
          <w:color w:val="000000"/>
          <w:szCs w:val="20"/>
          <w:lang w:val="en-US" w:eastAsia="en-US" w:bidi="en-US"/>
        </w:rPr>
        <w:t xml:space="preserve"> objętym projektem przedmiotowego planu miejscowego</w:t>
      </w:r>
      <w:r>
        <w:rPr>
          <w:color w:val="000000"/>
          <w:szCs w:val="20"/>
          <w:lang w:eastAsia="en-US" w:bidi="ar-SA"/>
        </w:rPr>
        <w:t>.</w:t>
      </w:r>
      <w:r>
        <w:rPr>
          <w:color w:val="000000"/>
          <w:szCs w:val="20"/>
          <w:lang w:val="en-US" w:eastAsia="en-US" w:bidi="en-US"/>
        </w:rPr>
        <w:t xml:space="preserve"> </w:t>
      </w:r>
    </w:p>
    <w:p w:rsidR="00F60E7E" w:rsidRDefault="00205CFE">
      <w:pPr>
        <w:ind w:firstLine="426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 xml:space="preserve">W projekcie planu uwzględniono uniwersalne projektowanie poprzez wyznaczenie terenów należących do przestrzeni publicznych i ustalenie nakazu dostosowania przestrzeni publicznych do potrzeb osób ze szczególnymi potrzebami. </w:t>
      </w:r>
    </w:p>
    <w:p w:rsidR="00F60E7E" w:rsidRDefault="00F60E7E">
      <w:pPr>
        <w:numPr>
          <w:ilvl w:val="0"/>
          <w:numId w:val="5"/>
        </w:numPr>
        <w:ind w:left="720"/>
        <w:contextualSpacing/>
        <w:rPr>
          <w:color w:val="000000"/>
          <w:szCs w:val="20"/>
          <w:lang w:val="en-US" w:eastAsia="en-US" w:bidi="en-US"/>
        </w:rPr>
      </w:pPr>
    </w:p>
    <w:p w:rsidR="00F60E7E" w:rsidRDefault="00205CFE">
      <w:pPr>
        <w:rPr>
          <w:b/>
          <w:color w:val="000000"/>
          <w:szCs w:val="20"/>
          <w:lang w:eastAsia="en-US" w:bidi="ar-SA"/>
        </w:rPr>
      </w:pPr>
      <w:r>
        <w:rPr>
          <w:b/>
          <w:color w:val="000000"/>
          <w:szCs w:val="20"/>
          <w:lang w:eastAsia="en-US" w:bidi="ar-SA"/>
        </w:rPr>
        <w:t>III. Wpływ na finanse publiczne</w:t>
      </w:r>
      <w:r>
        <w:rPr>
          <w:b/>
          <w:color w:val="000000"/>
          <w:szCs w:val="20"/>
          <w:lang w:eastAsia="en-US" w:bidi="ar-SA"/>
        </w:rPr>
        <w:t>, w tym budżet gminy.</w:t>
      </w:r>
    </w:p>
    <w:p w:rsidR="00F60E7E" w:rsidRDefault="00F60E7E">
      <w:pPr>
        <w:rPr>
          <w:b/>
          <w:color w:val="000000"/>
          <w:szCs w:val="20"/>
          <w:lang w:eastAsia="en-US" w:bidi="ar-SA"/>
        </w:rPr>
      </w:pPr>
    </w:p>
    <w:p w:rsidR="00F60E7E" w:rsidRDefault="00205CFE">
      <w:pPr>
        <w:rPr>
          <w:color w:val="000000"/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ab/>
        <w:t xml:space="preserve">Analiza wpływu ustaleń projektu miejscowego planu zagospodarowania przestrzennego na finanse publiczne, w tym na budżet gminy, określa potencjalne dochody </w:t>
      </w:r>
      <w:r>
        <w:rPr>
          <w:color w:val="000000"/>
          <w:szCs w:val="20"/>
        </w:rPr>
        <w:br/>
      </w:r>
      <w:r>
        <w:rPr>
          <w:color w:val="000000"/>
          <w:szCs w:val="20"/>
          <w:lang w:eastAsia="en-US" w:bidi="ar-SA"/>
        </w:rPr>
        <w:t>i wydatki z tytułu uchwalenia miejscowego planu zagospodarowania przestrzenn</w:t>
      </w:r>
      <w:r>
        <w:rPr>
          <w:color w:val="000000"/>
          <w:szCs w:val="20"/>
          <w:lang w:eastAsia="en-US" w:bidi="ar-SA"/>
        </w:rPr>
        <w:t xml:space="preserve">ego. </w:t>
      </w:r>
      <w:r>
        <w:rPr>
          <w:color w:val="000000"/>
          <w:szCs w:val="20"/>
        </w:rPr>
        <w:br/>
      </w:r>
      <w:r>
        <w:rPr>
          <w:color w:val="000000"/>
          <w:szCs w:val="20"/>
          <w:lang w:eastAsia="en-US" w:bidi="ar-SA"/>
        </w:rPr>
        <w:t>Na podstawie wykonanych analiz nie prognozuje się dochodów do budżetu gminy oraz wydatków z budżetu gminy, będących skutkiem uchwalenia mpzp</w:t>
      </w:r>
      <w:r>
        <w:rPr>
          <w:color w:val="000000"/>
          <w:szCs w:val="20"/>
        </w:rPr>
        <w:t>.</w:t>
      </w:r>
    </w:p>
    <w:p w:rsidR="00F60E7E" w:rsidRDefault="00205CFE">
      <w:pPr>
        <w:rPr>
          <w:color w:val="000000"/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ab/>
        <w:t>Należy jednak mieć na uwadze, że oszacowany poziom wyniku finansowego może odbiegać od rzeczywistych przysz</w:t>
      </w:r>
      <w:r>
        <w:rPr>
          <w:color w:val="000000"/>
          <w:szCs w:val="20"/>
          <w:lang w:eastAsia="en-US" w:bidi="ar-SA"/>
        </w:rPr>
        <w:t>łych rezultatów, z uwagi na nieprzewidywalność zachowań inwestorów, poziom cen rynkowych oraz zmienność uwarunkowań w czasie. Opracowana analiza pokazuje skalę pewnych zjawisk, które mogą wystąpić w konsekwencji uchwalenia planu miejscowego</w:t>
      </w:r>
      <w:r>
        <w:rPr>
          <w:color w:val="000000"/>
          <w:szCs w:val="20"/>
        </w:rPr>
        <w:t>.</w:t>
      </w:r>
    </w:p>
    <w:sectPr w:rsidR="00F60E7E" w:rsidSect="00B47D52">
      <w:footerReference w:type="default" r:id="rId24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CFE" w:rsidRDefault="00205CFE">
      <w:r>
        <w:separator/>
      </w:r>
    </w:p>
  </w:endnote>
  <w:endnote w:type="continuationSeparator" w:id="0">
    <w:p w:rsidR="00205CFE" w:rsidRDefault="00205C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F60E7E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60E7E" w:rsidRDefault="00205CFE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60E7E" w:rsidRDefault="00205CF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B47D52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47D52">
            <w:rPr>
              <w:sz w:val="18"/>
            </w:rPr>
            <w:fldChar w:fldCharType="separate"/>
          </w:r>
          <w:r w:rsidR="00E82C9C">
            <w:rPr>
              <w:noProof/>
              <w:sz w:val="18"/>
            </w:rPr>
            <w:t>6</w:t>
          </w:r>
          <w:r w:rsidR="00B47D52">
            <w:rPr>
              <w:sz w:val="18"/>
            </w:rPr>
            <w:fldChar w:fldCharType="end"/>
          </w:r>
        </w:p>
      </w:tc>
    </w:tr>
  </w:tbl>
  <w:p w:rsidR="00F60E7E" w:rsidRDefault="00F60E7E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F60E7E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60E7E" w:rsidRDefault="00205CFE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60E7E" w:rsidRDefault="00205CF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B47D52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47D52">
            <w:rPr>
              <w:sz w:val="18"/>
            </w:rPr>
            <w:fldChar w:fldCharType="separate"/>
          </w:r>
          <w:r w:rsidR="00E82C9C">
            <w:rPr>
              <w:noProof/>
              <w:sz w:val="18"/>
            </w:rPr>
            <w:t>1</w:t>
          </w:r>
          <w:r w:rsidR="00B47D52">
            <w:rPr>
              <w:sz w:val="18"/>
            </w:rPr>
            <w:fldChar w:fldCharType="end"/>
          </w:r>
        </w:p>
      </w:tc>
    </w:tr>
  </w:tbl>
  <w:p w:rsidR="00F60E7E" w:rsidRDefault="00F60E7E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F60E7E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60E7E" w:rsidRDefault="00205CFE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60E7E" w:rsidRDefault="00205CFE">
          <w:pPr>
            <w:jc w:val="right"/>
            <w:rPr>
              <w:sz w:val="18"/>
            </w:rPr>
          </w:pPr>
          <w:r>
            <w:rPr>
              <w:sz w:val="18"/>
            </w:rPr>
            <w:t>Strona</w:t>
          </w:r>
          <w:r>
            <w:rPr>
              <w:sz w:val="18"/>
            </w:rPr>
            <w:t xml:space="preserve"> </w:t>
          </w:r>
          <w:r w:rsidR="00B47D52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47D52">
            <w:rPr>
              <w:sz w:val="18"/>
            </w:rPr>
            <w:fldChar w:fldCharType="separate"/>
          </w:r>
          <w:r w:rsidR="00E82C9C">
            <w:rPr>
              <w:noProof/>
              <w:sz w:val="18"/>
            </w:rPr>
            <w:t>2</w:t>
          </w:r>
          <w:r w:rsidR="00B47D52">
            <w:rPr>
              <w:sz w:val="18"/>
            </w:rPr>
            <w:fldChar w:fldCharType="end"/>
          </w:r>
        </w:p>
      </w:tc>
    </w:tr>
  </w:tbl>
  <w:p w:rsidR="00F60E7E" w:rsidRDefault="00F60E7E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CFE" w:rsidRDefault="00205CFE">
      <w:r>
        <w:separator/>
      </w:r>
    </w:p>
  </w:footnote>
  <w:footnote w:type="continuationSeparator" w:id="0">
    <w:p w:rsidR="00205CFE" w:rsidRDefault="00205C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6FC1"/>
    <w:multiLevelType w:val="hybridMultilevel"/>
    <w:tmpl w:val="00000000"/>
    <w:lvl w:ilvl="0" w:tplc="99E8FD1A">
      <w:start w:val="1"/>
      <w:numFmt w:val="lowerLetter"/>
      <w:lvlText w:val=""/>
      <w:lvlJc w:val="left"/>
    </w:lvl>
    <w:lvl w:ilvl="1" w:tplc="6E6E0FD6">
      <w:numFmt w:val="decimal"/>
      <w:lvlText w:val=""/>
      <w:lvlJc w:val="left"/>
    </w:lvl>
    <w:lvl w:ilvl="2" w:tplc="E062D55A">
      <w:numFmt w:val="decimal"/>
      <w:lvlText w:val=""/>
      <w:lvlJc w:val="left"/>
    </w:lvl>
    <w:lvl w:ilvl="3" w:tplc="6818EA82">
      <w:numFmt w:val="decimal"/>
      <w:lvlText w:val=""/>
      <w:lvlJc w:val="left"/>
    </w:lvl>
    <w:lvl w:ilvl="4" w:tplc="FF54DC44">
      <w:numFmt w:val="decimal"/>
      <w:lvlText w:val=""/>
      <w:lvlJc w:val="left"/>
    </w:lvl>
    <w:lvl w:ilvl="5" w:tplc="ADD42C3C">
      <w:numFmt w:val="decimal"/>
      <w:lvlText w:val=""/>
      <w:lvlJc w:val="left"/>
    </w:lvl>
    <w:lvl w:ilvl="6" w:tplc="5AD06B98">
      <w:numFmt w:val="decimal"/>
      <w:lvlText w:val=""/>
      <w:lvlJc w:val="left"/>
    </w:lvl>
    <w:lvl w:ilvl="7" w:tplc="453A3F2E">
      <w:numFmt w:val="decimal"/>
      <w:lvlText w:val=""/>
      <w:lvlJc w:val="left"/>
    </w:lvl>
    <w:lvl w:ilvl="8" w:tplc="35763C2E">
      <w:numFmt w:val="decimal"/>
      <w:lvlText w:val=""/>
      <w:lvlJc w:val="left"/>
    </w:lvl>
  </w:abstractNum>
  <w:abstractNum w:abstractNumId="1">
    <w:nsid w:val="171378E3"/>
    <w:multiLevelType w:val="hybridMultilevel"/>
    <w:tmpl w:val="00000000"/>
    <w:lvl w:ilvl="0" w:tplc="31C4881A">
      <w:start w:val="1"/>
      <w:numFmt w:val="lowerLetter"/>
      <w:lvlText w:val="%1)"/>
      <w:lvlJc w:val="left"/>
      <w:pPr>
        <w:ind w:left="720" w:hanging="360"/>
      </w:pPr>
    </w:lvl>
    <w:lvl w:ilvl="1" w:tplc="EC3C5AB8">
      <w:start w:val="1"/>
      <w:numFmt w:val="lowerLetter"/>
      <w:lvlText w:val="%2."/>
      <w:lvlJc w:val="left"/>
      <w:pPr>
        <w:ind w:left="1440" w:hanging="360"/>
      </w:pPr>
    </w:lvl>
    <w:lvl w:ilvl="2" w:tplc="C778F806">
      <w:start w:val="1"/>
      <w:numFmt w:val="lowerRoman"/>
      <w:lvlText w:val="%3."/>
      <w:lvlJc w:val="right"/>
      <w:pPr>
        <w:ind w:left="2160" w:hanging="180"/>
      </w:pPr>
    </w:lvl>
    <w:lvl w:ilvl="3" w:tplc="A49EBC70">
      <w:start w:val="1"/>
      <w:numFmt w:val="decimal"/>
      <w:lvlText w:val="%4."/>
      <w:lvlJc w:val="left"/>
      <w:pPr>
        <w:ind w:left="2880" w:hanging="360"/>
      </w:pPr>
    </w:lvl>
    <w:lvl w:ilvl="4" w:tplc="BBFE7928">
      <w:start w:val="1"/>
      <w:numFmt w:val="lowerLetter"/>
      <w:lvlText w:val="%5."/>
      <w:lvlJc w:val="left"/>
      <w:pPr>
        <w:ind w:left="3600" w:hanging="360"/>
      </w:pPr>
    </w:lvl>
    <w:lvl w:ilvl="5" w:tplc="797CFFE8">
      <w:start w:val="1"/>
      <w:numFmt w:val="lowerRoman"/>
      <w:lvlText w:val="%6."/>
      <w:lvlJc w:val="right"/>
      <w:pPr>
        <w:ind w:left="4320" w:hanging="180"/>
      </w:pPr>
    </w:lvl>
    <w:lvl w:ilvl="6" w:tplc="F6048F12">
      <w:start w:val="1"/>
      <w:numFmt w:val="decimal"/>
      <w:lvlText w:val="%7."/>
      <w:lvlJc w:val="left"/>
      <w:pPr>
        <w:ind w:left="5040" w:hanging="360"/>
      </w:pPr>
    </w:lvl>
    <w:lvl w:ilvl="7" w:tplc="322AE834">
      <w:start w:val="1"/>
      <w:numFmt w:val="lowerLetter"/>
      <w:lvlText w:val="%8."/>
      <w:lvlJc w:val="left"/>
      <w:pPr>
        <w:ind w:left="5760" w:hanging="360"/>
      </w:pPr>
    </w:lvl>
    <w:lvl w:ilvl="8" w:tplc="B03ED93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91B95"/>
    <w:multiLevelType w:val="hybridMultilevel"/>
    <w:tmpl w:val="00000000"/>
    <w:lvl w:ilvl="0" w:tplc="A7ECA44C">
      <w:start w:val="1"/>
      <w:numFmt w:val="decimal"/>
      <w:lvlText w:val="%1)"/>
      <w:lvlJc w:val="left"/>
      <w:pPr>
        <w:ind w:left="720" w:hanging="360"/>
      </w:pPr>
    </w:lvl>
    <w:lvl w:ilvl="1" w:tplc="968285F4">
      <w:start w:val="1"/>
      <w:numFmt w:val="decimal"/>
      <w:lvlText w:val="%2)"/>
      <w:lvlJc w:val="left"/>
      <w:pPr>
        <w:ind w:left="3447" w:hanging="360"/>
      </w:pPr>
    </w:lvl>
    <w:lvl w:ilvl="2" w:tplc="4A9A662A">
      <w:start w:val="1"/>
      <w:numFmt w:val="lowerRoman"/>
      <w:lvlText w:val="%3."/>
      <w:lvlJc w:val="right"/>
      <w:pPr>
        <w:ind w:left="2160" w:hanging="180"/>
      </w:pPr>
    </w:lvl>
    <w:lvl w:ilvl="3" w:tplc="F5125E4A">
      <w:start w:val="1"/>
      <w:numFmt w:val="decimal"/>
      <w:lvlText w:val="%4."/>
      <w:lvlJc w:val="left"/>
      <w:pPr>
        <w:ind w:left="2880" w:hanging="360"/>
      </w:pPr>
    </w:lvl>
    <w:lvl w:ilvl="4" w:tplc="D35038F0">
      <w:start w:val="1"/>
      <w:numFmt w:val="lowerLetter"/>
      <w:lvlText w:val="%5."/>
      <w:lvlJc w:val="left"/>
      <w:pPr>
        <w:ind w:left="3600" w:hanging="360"/>
      </w:pPr>
    </w:lvl>
    <w:lvl w:ilvl="5" w:tplc="A8787E86">
      <w:start w:val="1"/>
      <w:numFmt w:val="lowerRoman"/>
      <w:lvlText w:val="%6."/>
      <w:lvlJc w:val="right"/>
      <w:pPr>
        <w:ind w:left="4320" w:hanging="180"/>
      </w:pPr>
    </w:lvl>
    <w:lvl w:ilvl="6" w:tplc="6996F9C0">
      <w:start w:val="1"/>
      <w:numFmt w:val="decimal"/>
      <w:lvlText w:val="%7."/>
      <w:lvlJc w:val="left"/>
      <w:pPr>
        <w:ind w:left="5040" w:hanging="360"/>
      </w:pPr>
    </w:lvl>
    <w:lvl w:ilvl="7" w:tplc="DD127674">
      <w:start w:val="1"/>
      <w:numFmt w:val="lowerLetter"/>
      <w:lvlText w:val="%8."/>
      <w:lvlJc w:val="left"/>
      <w:pPr>
        <w:ind w:left="5760" w:hanging="360"/>
      </w:pPr>
    </w:lvl>
    <w:lvl w:ilvl="8" w:tplc="DC1EEE1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E1DB6"/>
    <w:multiLevelType w:val="multilevel"/>
    <w:tmpl w:val="00000000"/>
    <w:lvl w:ilvl="0">
      <w:start w:val="1"/>
      <w:numFmt w:val="decimal"/>
      <w:lvlText w:val="%1)"/>
      <w:lvlJc w:val="left"/>
      <w:pPr>
        <w:ind w:left="304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strike w:val="0"/>
      </w:rPr>
    </w:lvl>
    <w:lvl w:ilvl="2">
      <w:start w:val="1"/>
      <w:numFmt w:val="bullet"/>
      <w:lvlText w:val="-"/>
      <w:lvlJc w:val="left"/>
      <w:pPr>
        <w:ind w:left="748" w:hanging="180"/>
      </w:pPr>
      <w:rPr>
        <w:rFonts w:ascii="Symbol" w:hAnsi="Symbol"/>
        <w:color w:val="auto"/>
      </w:rPr>
    </w:lvl>
    <w:lvl w:ilvl="3">
      <w:start w:val="1"/>
      <w:numFmt w:val="bullet"/>
      <w:lvlText w:val="-"/>
      <w:lvlJc w:val="left"/>
      <w:pPr>
        <w:ind w:left="502" w:hanging="360"/>
      </w:pPr>
      <w:rPr>
        <w:rFonts w:ascii="Symbol" w:hAnsi="Symbol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FA52F0"/>
    <w:multiLevelType w:val="hybridMultilevel"/>
    <w:tmpl w:val="00000000"/>
    <w:lvl w:ilvl="0" w:tplc="AD28679E">
      <w:start w:val="1"/>
      <w:numFmt w:val="decimal"/>
      <w:lvlText w:val="%1)"/>
      <w:lvlJc w:val="left"/>
      <w:pPr>
        <w:ind w:left="720" w:hanging="360"/>
      </w:pPr>
    </w:lvl>
    <w:lvl w:ilvl="1" w:tplc="AC06DB02">
      <w:start w:val="1"/>
      <w:numFmt w:val="decimal"/>
      <w:lvlText w:val="%2)"/>
      <w:lvlJc w:val="left"/>
      <w:pPr>
        <w:ind w:left="3447" w:hanging="360"/>
      </w:pPr>
    </w:lvl>
    <w:lvl w:ilvl="2" w:tplc="95EAB7EC">
      <w:start w:val="1"/>
      <w:numFmt w:val="lowerLetter"/>
      <w:lvlText w:val="%3)"/>
      <w:lvlJc w:val="left"/>
      <w:pPr>
        <w:ind w:left="720" w:hanging="360"/>
      </w:pPr>
    </w:lvl>
    <w:lvl w:ilvl="3" w:tplc="8E8E4B0A">
      <w:start w:val="1"/>
      <w:numFmt w:val="decimal"/>
      <w:lvlText w:val="%4."/>
      <w:lvlJc w:val="left"/>
      <w:pPr>
        <w:ind w:left="2880" w:hanging="360"/>
      </w:pPr>
    </w:lvl>
    <w:lvl w:ilvl="4" w:tplc="4E96266A">
      <w:start w:val="1"/>
      <w:numFmt w:val="lowerLetter"/>
      <w:lvlText w:val="%5."/>
      <w:lvlJc w:val="left"/>
      <w:pPr>
        <w:ind w:left="3600" w:hanging="360"/>
      </w:pPr>
    </w:lvl>
    <w:lvl w:ilvl="5" w:tplc="01740ABA">
      <w:start w:val="1"/>
      <w:numFmt w:val="lowerRoman"/>
      <w:lvlText w:val="%6."/>
      <w:lvlJc w:val="right"/>
      <w:pPr>
        <w:ind w:left="4320" w:hanging="180"/>
      </w:pPr>
    </w:lvl>
    <w:lvl w:ilvl="6" w:tplc="DCD8E37C">
      <w:start w:val="1"/>
      <w:numFmt w:val="decimal"/>
      <w:lvlText w:val="%7."/>
      <w:lvlJc w:val="left"/>
      <w:pPr>
        <w:ind w:left="5040" w:hanging="360"/>
      </w:pPr>
    </w:lvl>
    <w:lvl w:ilvl="7" w:tplc="CA12C646">
      <w:start w:val="1"/>
      <w:numFmt w:val="lowerLetter"/>
      <w:lvlText w:val="%8."/>
      <w:lvlJc w:val="left"/>
      <w:pPr>
        <w:ind w:left="5760" w:hanging="360"/>
      </w:pPr>
    </w:lvl>
    <w:lvl w:ilvl="8" w:tplc="11F403B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E392A"/>
    <w:rsid w:val="00205CFE"/>
    <w:rsid w:val="004056A7"/>
    <w:rsid w:val="00A77B3E"/>
    <w:rsid w:val="00B47D52"/>
    <w:rsid w:val="00CA2A55"/>
    <w:rsid w:val="00DE3484"/>
    <w:rsid w:val="00E82C9C"/>
    <w:rsid w:val="00F60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47D52"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Normal0">
    <w:name w:val="Normal_0"/>
    <w:basedOn w:val="Normalny"/>
    <w:rsid w:val="00B47D52"/>
    <w:pPr>
      <w:jc w:val="left"/>
    </w:pPr>
    <w:rPr>
      <w:color w:val="000000"/>
      <w:szCs w:val="20"/>
      <w:lang w:eastAsia="en-US" w:bidi="ar-SA"/>
    </w:rPr>
  </w:style>
  <w:style w:type="paragraph" w:customStyle="1" w:styleId="PARAGRAF">
    <w:name w:val="PARAGRAF"/>
    <w:basedOn w:val="Normalny"/>
    <w:rsid w:val="00B47D52"/>
    <w:pPr>
      <w:suppressAutoHyphens/>
      <w:spacing w:before="120" w:after="120"/>
      <w:ind w:firstLine="425"/>
      <w:jc w:val="left"/>
    </w:pPr>
    <w:rPr>
      <w:color w:val="000000"/>
      <w:szCs w:val="20"/>
      <w:shd w:val="clear" w:color="auto" w:fill="FFFFFF"/>
      <w:lang w:val="ar-SA" w:eastAsia="ar-SA" w:bidi="ar-SA"/>
    </w:rPr>
  </w:style>
  <w:style w:type="paragraph" w:styleId="Akapitzlist">
    <w:name w:val="List Paragraph"/>
    <w:basedOn w:val="Normal0"/>
    <w:rsid w:val="00B47D52"/>
    <w:pPr>
      <w:ind w:left="720"/>
      <w:contextualSpacing/>
    </w:pPr>
    <w:rPr>
      <w:lang w:val="en-US" w:bidi="en-US"/>
    </w:rPr>
  </w:style>
  <w:style w:type="paragraph" w:customStyle="1" w:styleId="Default">
    <w:name w:val="Default"/>
    <w:rsid w:val="00B47D52"/>
    <w:rPr>
      <w:color w:val="000000"/>
      <w:sz w:val="24"/>
      <w:lang w:eastAsia="en-US" w:bidi="ar-SA"/>
    </w:rPr>
  </w:style>
  <w:style w:type="paragraph" w:styleId="Tekstdymka">
    <w:name w:val="Balloon Text"/>
    <w:basedOn w:val="Normalny"/>
    <w:link w:val="TekstdymkaZnak"/>
    <w:rsid w:val="00E82C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FC2D8BB0-1D37-4E21-B3E3-468BF4B21C01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7ED3F392-CB24-4AE1-8F2C-C52847BCC596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Zalacznik09CBB0D7-93C2-42CE-9ADD-4B9A8DDB06AE.jpg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Zalacznik06834A74-A271-4A50-A7D9-F4AE130B623D.jpg" TargetMode="External"/><Relationship Id="rId20" Type="http://schemas.openxmlformats.org/officeDocument/2006/relationships/image" Target="Zalacznik5013796C-A2DF-41EF-BA77-6314B84AAEB0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Zalacznik3DAB8FCA-A589-4528-B03A-97572755ACDB.jpg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ZalacznikE3F221E2-455B-4ED6-8223-12EBE5BE0E81.jpg" TargetMode="External"/><Relationship Id="rId22" Type="http://schemas.openxmlformats.org/officeDocument/2006/relationships/hyperlink" Target="Zalacznik4.g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6075</Words>
  <Characters>36455</Characters>
  <Application>Microsoft Office Word</Application>
  <DocSecurity>0</DocSecurity>
  <Lines>303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42446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uchwalenia miejscowego planu zagospodarowania przestrzennego dla części obszaru miasta Łodzi położonej w rejonie ulic: Szczecińskiej, Podchorążych i Złotno.</dc:subject>
  <dc:creator>fblaszczynski</dc:creator>
  <cp:lastModifiedBy>sstanczyk</cp:lastModifiedBy>
  <cp:revision>3</cp:revision>
  <dcterms:created xsi:type="dcterms:W3CDTF">2025-05-21T15:21:00Z</dcterms:created>
  <dcterms:modified xsi:type="dcterms:W3CDTF">2025-05-22T06:54:00Z</dcterms:modified>
  <cp:category>Akt prawny</cp:category>
</cp:coreProperties>
</file>