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70B07" w14:textId="77777777" w:rsidR="00A77B3E" w:rsidRDefault="00A77B3E">
      <w:pPr>
        <w:ind w:left="6803"/>
        <w:jc w:val="left"/>
      </w:pPr>
    </w:p>
    <w:p w14:paraId="53FEE262" w14:textId="77777777" w:rsidR="00A77B3E" w:rsidRDefault="00A77B3E">
      <w:pPr>
        <w:ind w:left="6803"/>
        <w:jc w:val="left"/>
      </w:pPr>
    </w:p>
    <w:p w14:paraId="743FB772" w14:textId="6952E744" w:rsidR="00A77B3E" w:rsidRDefault="00115629" w:rsidP="00115629">
      <w:pPr>
        <w:ind w:left="6521"/>
        <w:jc w:val="left"/>
      </w:pPr>
      <w:r>
        <w:t>Druk Nr 126/2025</w:t>
      </w:r>
    </w:p>
    <w:p w14:paraId="4B6D7531" w14:textId="1E148E90" w:rsidR="00A77B3E" w:rsidRDefault="00115629" w:rsidP="00115629">
      <w:pPr>
        <w:ind w:left="6521"/>
        <w:jc w:val="left"/>
      </w:pPr>
      <w:r>
        <w:t>Projekt z dnia 11 czerwca 2025 r.</w:t>
      </w:r>
    </w:p>
    <w:p w14:paraId="4135BE7B" w14:textId="77777777" w:rsidR="00A77B3E" w:rsidRDefault="00A77B3E">
      <w:pPr>
        <w:ind w:left="6803"/>
        <w:jc w:val="left"/>
      </w:pPr>
    </w:p>
    <w:p w14:paraId="45D93AD1" w14:textId="77777777" w:rsidR="00A77B3E" w:rsidRDefault="00115629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39B23E5D" w14:textId="77777777" w:rsidR="00A77B3E" w:rsidRDefault="00115629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14:paraId="060F58D8" w14:textId="77777777" w:rsidR="00A77B3E" w:rsidRDefault="00115629">
      <w:pPr>
        <w:keepNext/>
        <w:spacing w:after="2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ulicy </w:t>
      </w:r>
      <w:r>
        <w:rPr>
          <w:b/>
        </w:rPr>
        <w:t>Andrzeja Struga 82/84 i 86.</w:t>
      </w:r>
    </w:p>
    <w:p w14:paraId="15D00EE5" w14:textId="77777777" w:rsidR="00A77B3E" w:rsidRDefault="00115629">
      <w:pPr>
        <w:keepLines/>
        <w:spacing w:before="120" w:after="120"/>
        <w:ind w:firstLine="567"/>
      </w:pPr>
      <w:r>
        <w:t xml:space="preserve">Na podstawie art. 18 ust. 2 pkt 5 i art. 40 ust. 1 ustawy z dnia 8 marca 1990 r. o samorządzie gminnym (Dz. U. z 2024 r. poz. 1465, 1572, 1907 i 1940) oraz art. 14 ust. 8 i art. 20 ust. 1 ustawy z dnia 27 marca 2003 r. o planowaniu i zagospodarowaniu przestrzennym (Dz. U. z 2024 r. poz. 1130, 1907 i 1940 oraz z 2025 r. poz. 527 i 680), w związku z art. 67 ust. 3 pkt 2 ustawy z dnia 7 lipca 2023 r. o zmianie ustawy o planowaniu i zagospodarowaniu przestrzennym oraz niektórych innych ustaw (Dz. U. poz. 1688, </w:t>
      </w:r>
      <w:r>
        <w:t>z 2024 r. poz. 1824 oraz z 2025 r. poz. 527), Rada Miejska w Łodzi</w:t>
      </w:r>
    </w:p>
    <w:p w14:paraId="69D8120C" w14:textId="77777777" w:rsidR="00A77B3E" w:rsidRDefault="00115629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14:paraId="213952AB" w14:textId="77777777" w:rsidR="00A77B3E" w:rsidRDefault="00115629">
      <w:pPr>
        <w:keepNext/>
        <w:spacing w:before="24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2F252AB6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1. 1. </w:t>
      </w:r>
      <w:r>
        <w:t>Przedmiotem uchwały są ustalenia miejscowego planu zagospodarowania przestrzennego dla części obszaru miasta Łodzi położonej w rejonie ulicy Andrzeja Struga 82/84 i 86, zwanego dalej „planem”, wraz z integralnymi jej częściami w postaci:</w:t>
      </w:r>
    </w:p>
    <w:p w14:paraId="3FE4519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 uchwały;</w:t>
      </w:r>
    </w:p>
    <w:p w14:paraId="351C21D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rozstrzygnięcia o sposobie </w:t>
      </w:r>
      <w:r>
        <w:rPr>
          <w:color w:val="000000"/>
          <w:u w:color="000000"/>
        </w:rPr>
        <w:t>rozpatrzenia uwag do projektu planu złożonych w trakcie konsultacji społecznych, stanowiącego załącznik Nr 2 do uchwały;</w:t>
      </w:r>
    </w:p>
    <w:p w14:paraId="134C2B13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technicznej, które należą do zadań własnych gminy oraz zasadach ich finansowania, zgodnie z przepisami o finansach publicznych, stanowiącego załącznik Nr 3 do uchwały.</w:t>
      </w:r>
    </w:p>
    <w:p w14:paraId="6C1D412E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 rysunku planu, o którym mowa w ust. 1 pkt 1.</w:t>
      </w:r>
    </w:p>
    <w:p w14:paraId="395A7447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 LXIX/1753/18 Rady Miejskiej w Łodzi z dnia 28 marca 2018 r., zmienioną uchwałami Rady Miejskiej w Łodzi Nr VI/215/19 z dnia 6 marca 2019 r. i Nr LII/1605/21 z dnia 22 grudnia 2021 r.</w:t>
      </w:r>
    </w:p>
    <w:p w14:paraId="5E2B974A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 stanu faktycznego, w planie nie określa się:</w:t>
      </w:r>
    </w:p>
    <w:p w14:paraId="4957E75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kształtowania krajobrazu;</w:t>
      </w:r>
    </w:p>
    <w:p w14:paraId="4C53FA2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 ochrony dóbr kultury współczesnej;</w:t>
      </w:r>
    </w:p>
    <w:p w14:paraId="4CB0B7C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granic i sposobów </w:t>
      </w:r>
      <w:r>
        <w:rPr>
          <w:color w:val="000000"/>
          <w:u w:color="000000"/>
        </w:rPr>
        <w:t>zagospodarowania terenów lub obiektów podlegających ochronie, na podstawie odrębnych przepisów, terenów górniczych, obszarów szczególnego zagrożenia powodzią, obszarów osuwania się mas ziemnych, krajobrazów priorytetowych określonych w audycie krajobrazowym oraz w planach zagospodarowania przestrzennego województwa;</w:t>
      </w:r>
    </w:p>
    <w:p w14:paraId="3287590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0D6F7EE5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4. 1. </w:t>
      </w:r>
      <w:r>
        <w:rPr>
          <w:color w:val="000000"/>
          <w:u w:color="000000"/>
        </w:rPr>
        <w:t>Określenia stosowane w uchwale należy rozumieć jako:</w:t>
      </w:r>
    </w:p>
    <w:p w14:paraId="0963DBC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 15º;</w:t>
      </w:r>
    </w:p>
    <w:p w14:paraId="56F2364E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działki – odcinek granicy działki budowlanej przylegający do drogi publicznej lub innego ciągu komunikacyjnego, z którego odbywa się główny wjazd lub wejście na tę działkę;</w:t>
      </w:r>
    </w:p>
    <w:p w14:paraId="251A3B35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budowlane: wodociągowe, kanalizacyjne, ciepłownicze, elektryczne, gazowe i telekomunikacyjne;</w:t>
      </w:r>
    </w:p>
    <w:p w14:paraId="7A5E372B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wyznaczoną na rysunku planu linię ciągłą, stanowiącą granicę między terenami o różnym przeznaczeniu lub różnych zasadach zagospodarowania;</w:t>
      </w:r>
    </w:p>
    <w:p w14:paraId="0B776170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zabudowy nieprzekraczalna – wyznaczoną na rysunku planu linię określającą część działki budowlanej, na której możliwe jest lokalizowanie budynków, z zakazem jej przekraczania, który to zakaz nie dotyczy:</w:t>
      </w:r>
    </w:p>
    <w:p w14:paraId="7DE1C00E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14:paraId="5891C608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elementów </w:t>
      </w:r>
      <w:proofErr w:type="spellStart"/>
      <w:r>
        <w:rPr>
          <w:color w:val="000000"/>
          <w:u w:color="000000"/>
        </w:rPr>
        <w:t>nadwieszeń</w:t>
      </w:r>
      <w:proofErr w:type="spellEnd"/>
      <w:r>
        <w:rPr>
          <w:color w:val="000000"/>
          <w:u w:color="000000"/>
        </w:rPr>
        <w:t xml:space="preserve"> takich jak: łącznik, balkon, wykusz, gzyms, okap dachu, podpora konstrukcyjna,</w:t>
      </w:r>
    </w:p>
    <w:p w14:paraId="6B66FEF0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694F3BD0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urządzeń budowlanych związanych z budynkiem,</w:t>
      </w:r>
    </w:p>
    <w:p w14:paraId="1FB699DE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instalacji artystycznych,</w:t>
      </w:r>
    </w:p>
    <w:p w14:paraId="3B39A46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termicznej, okładzin oraz zewnętrznych elementów komunikacji pionowej, takich jak klatki schodowe i szyby windowe – wyłącznie w przypadku zabudowy istniejącej;</w:t>
      </w:r>
    </w:p>
    <w:p w14:paraId="2D65CE14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zabudowy obowiązująca – rodzaj linii zabudowy nieprzekraczalnej, wzdłuż której obowiązuje sytuowanie minimum 70% powierzchni elewacji frontowej budynku innego niż obiekt pomocniczy, gospodarczy lub techniczny;</w:t>
      </w:r>
    </w:p>
    <w:p w14:paraId="359F9EF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zabudowy równoległej – rodzaj linii zabudowy nieprzekraczalnej, z nakazem lokalizowania minimum 70% powierzchni elewacji frontowej budynku innego niż obiekt pomocniczy, gospodarczy lub techniczny wzdłuż tej linii lub równolegle do niej w odległości maksimum 5,0 m;</w:t>
      </w:r>
    </w:p>
    <w:p w14:paraId="47A36C4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miejsce zmiany lub końca linii zabudowy – wskazany na rysunku planu punkt, w którym następuje zmiana rodzaju linii zabudowy lub jej zakończenie;</w:t>
      </w:r>
    </w:p>
    <w:p w14:paraId="637E0994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podniesienie standardów jakości użytkowania – działania budowlane w budynkach istniejących obejmujące dobudowę: ciągów komunikacji pionowej, łączników pomiędzy budynkami, tarasów, werand, ogrodów zimowych;</w:t>
      </w:r>
    </w:p>
    <w:p w14:paraId="7542638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 na obszarze miasta Łodzi;</w:t>
      </w:r>
    </w:p>
    <w:p w14:paraId="0EF1406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terenie, odpowiednio:</w:t>
      </w:r>
    </w:p>
    <w:p w14:paraId="5840B41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</w:t>
      </w:r>
      <w:r>
        <w:rPr>
          <w:color w:val="000000"/>
          <w:u w:color="000000"/>
        </w:rPr>
        <w:t>przypadku realizacji dróg wewnętrznych i infrastruktury technicznej,</w:t>
      </w:r>
    </w:p>
    <w:p w14:paraId="454AB0A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 danej działce, a w przypadku dróg wewnętrznych i infrastruktury technicznej – przeznaczenie, które uzupełnia przeznaczenie podstawowe w danym terenie;</w:t>
      </w:r>
    </w:p>
    <w:p w14:paraId="5D68A527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 xml:space="preserve">system NCS – system opisu barw publikowany w formie wzorników kolorów; oznaczenie koloru składa się z: napisu „NCS S”, czterech cyfr, z których pierwsze dwie oznaczają procentową </w:t>
      </w:r>
      <w:r>
        <w:rPr>
          <w:color w:val="000000"/>
          <w:u w:color="000000"/>
        </w:rPr>
        <w:lastRenderedPageBreak/>
        <w:t>zawartość czerni, kolejne dwie – poziom chromatyczności oraz, po myślniku, symbolu koloru oznaczającego procentową zawartość kolorów (żółtego – Y, czerwonego – R, niebieskiego – B, zielonego – G) lub kolor neutralny – N;</w:t>
      </w:r>
    </w:p>
    <w:p w14:paraId="1294ADE0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system RAL – system opisu barw publikowany w formie wzorników kolorów; oznaczenie koloru składa się z napisu „RAL” oraz czterech cyfr, z których pierwsze dwie oznaczają przynależność koloru do umownie określonych grup odcieni (RAL10xx – grupa odcieni żółtych, RAL90xx – grupa odcieni białych i czarnych);</w:t>
      </w:r>
    </w:p>
    <w:p w14:paraId="6CDF22A5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4740FD97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uchwała – niniejszą uchwałę Rady Miejskiej w Łodzi;</w:t>
      </w:r>
    </w:p>
    <w:p w14:paraId="234D683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ustawa – ustawę z dnia 27 marca 2003 r. o planowaniu i </w:t>
      </w:r>
      <w:r>
        <w:rPr>
          <w:color w:val="000000"/>
          <w:u w:color="000000"/>
        </w:rPr>
        <w:t>zagospodarowaniu przestrzennym, o ile z treści przepisu nie wynika inaczej;</w:t>
      </w:r>
    </w:p>
    <w:p w14:paraId="6BA2ED93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zabudowa istniejąca – budynki istniejące w dniu wejścia w życie planu, a także budynki posiadające w tej dacie prawo do realizacji na podstawie ostatecznej decyzji o pozwoleniu na budowę lub zgłoszenia, o którym mowa w przepisach odrębnych z zakresu prawa budowlanego.</w:t>
      </w:r>
    </w:p>
    <w:p w14:paraId="64810F12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niniejszej uchwały, należy rozumieć w sposób określony w ustawie lub w tych przepisach, a w przypadku braku definicji – w rozumieniu powszechnym.</w:t>
      </w:r>
    </w:p>
    <w:p w14:paraId="462C0A51" w14:textId="77777777" w:rsidR="00A77B3E" w:rsidRDefault="00115629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2294AB08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3C721112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 – uzupełnianie i przekształcanie historycznej struktury przestrzennej Strefy Wielkomiejskiej;</w:t>
      </w:r>
    </w:p>
    <w:p w14:paraId="7F05BE1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zabudowy:</w:t>
      </w:r>
    </w:p>
    <w:p w14:paraId="1A5AA7C4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sytuowania podziemnych części budynków poza liniami zabudowy,</w:t>
      </w:r>
    </w:p>
    <w:p w14:paraId="22E2C639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lokalizowania budynków gospodarczych, technicznych, garaży i wolnostojących stacji elektroenergetycznych w odległości do 15,0 m od linii zabudowy obowiązującej lub równoległej,</w:t>
      </w:r>
    </w:p>
    <w:p w14:paraId="70DB3F23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zabudowy istniejącej o funkcji zgodnej z przeznaczeniem terenu, a usytuowanej niezgodnie z wyznaczonymi na rysunku planu liniami zabudowy:</w:t>
      </w:r>
    </w:p>
    <w:p w14:paraId="26121807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całości poza liniami zabudowy – dopuszczenie wyłącznie remontu lub przebudowy oraz wykonywania innych robot budowlanych polegających na doprowadzeniu do zgodności z przepisami odrębnymi z zakresu budownictwa lub podniesieniu standardów jakości użytkowania,</w:t>
      </w:r>
    </w:p>
    <w:p w14:paraId="1F309731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części poza liniami zabudowy – dopuszczenie wyłącznie remontu i przebudowy oraz rozbudowy i nadbudowy uwzględniającej wyznaczone na rysunku planu linie zabudowy,</w:t>
      </w:r>
    </w:p>
    <w:p w14:paraId="2624F3B1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– dopuszczenie remontu, przebudowy, nadbudowy i rozbudowy bez konieczności jej realizacji w linii zabudowy obowiązującej lub równoległej;</w:t>
      </w:r>
    </w:p>
    <w:p w14:paraId="72A58C50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wskaźników i parametrów zabudowy i zagospodarowania terenu:</w:t>
      </w:r>
    </w:p>
    <w:p w14:paraId="5404D00C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dla zabudowy istniejącej, niespełniającej wyznaczonych wskaźników i parametrów, dopuszczenie wyłącznie: remontu, przebudowy oraz innych robót budowlanych koniecznych do doprowadzenia do zgodności z przepisami prawa budowlanego,</w:t>
      </w:r>
    </w:p>
    <w:p w14:paraId="57AE4748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 budowli określa się maksymalną wysokość zabudowy – 30,0 m;</w:t>
      </w:r>
    </w:p>
    <w:p w14:paraId="53F176B6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kolorystyki i materiałów wykończeniowych elewacji i dachów dla budynków:</w:t>
      </w:r>
    </w:p>
    <w:p w14:paraId="716410FC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nie więcej niż trzech materiałów </w:t>
      </w:r>
      <w:r>
        <w:rPr>
          <w:color w:val="000000"/>
          <w:u w:color="000000"/>
        </w:rPr>
        <w:t>wykończeniowych dla ścian spośród: tynku, kamienia, betonu architektonicznego, metalu, włókno-cementu, ceramiki budowlanej, drewna, szkła,</w:t>
      </w:r>
    </w:p>
    <w:p w14:paraId="26EC90D4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14:paraId="5C7CE377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naturalnej kolorystyki materiałów </w:t>
      </w:r>
      <w:r>
        <w:rPr>
          <w:color w:val="000000"/>
          <w:u w:color="000000"/>
        </w:rPr>
        <w:t>wykończeniowych, takich jak: ceramika budowlana, kamień naturalny, metal, drewno, szkło bezbarwne lub w odcieniach szarości,</w:t>
      </w:r>
    </w:p>
    <w:p w14:paraId="3E2F2CE3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powierzchni malowanych lub struktur barwionych –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2475"/>
        <w:gridCol w:w="2776"/>
        <w:gridCol w:w="1890"/>
        <w:gridCol w:w="1950"/>
      </w:tblGrid>
      <w:tr w:rsidR="007B2DE3" w14:paraId="438C8DA2" w14:textId="77777777"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2D9E672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System i edycja</w:t>
            </w:r>
          </w:p>
        </w:tc>
        <w:tc>
          <w:tcPr>
            <w:tcW w:w="2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C6A5F0E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Zawartość czerni</w:t>
            </w:r>
          </w:p>
          <w:p w14:paraId="47CD8C67" w14:textId="77777777" w:rsidR="007B2DE3" w:rsidRDefault="00115629">
            <w:pPr>
              <w:jc w:val="center"/>
            </w:pPr>
            <w:r>
              <w:t>(dwie pierwsze cyfry)</w:t>
            </w:r>
          </w:p>
        </w:tc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390300C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Poziom chromatyczności</w:t>
            </w:r>
          </w:p>
          <w:p w14:paraId="3D901407" w14:textId="77777777" w:rsidR="007B2DE3" w:rsidRDefault="00115629">
            <w:pPr>
              <w:jc w:val="center"/>
            </w:pPr>
            <w:r>
              <w:t>(dwie kolejne cyfry)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B5D17F3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Symbol koloru</w:t>
            </w:r>
          </w:p>
          <w:p w14:paraId="1D6CA317" w14:textId="77777777" w:rsidR="007B2DE3" w:rsidRDefault="00115629">
            <w:pPr>
              <w:jc w:val="center"/>
            </w:pPr>
            <w:r>
              <w:t>(po myślniku)</w:t>
            </w:r>
          </w:p>
        </w:tc>
        <w:tc>
          <w:tcPr>
            <w:tcW w:w="1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BB96CB7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Opis barw</w:t>
            </w:r>
          </w:p>
        </w:tc>
      </w:tr>
      <w:tr w:rsidR="007B2DE3" w14:paraId="63861BB1" w14:textId="77777777">
        <w:tc>
          <w:tcPr>
            <w:tcW w:w="9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2226216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2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C199E7C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maks. 40</w:t>
            </w:r>
          </w:p>
        </w:tc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DE1F99A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maks. 20</w:t>
            </w:r>
          </w:p>
        </w:tc>
        <w:tc>
          <w:tcPr>
            <w:tcW w:w="18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13171C5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od G30Y do G90Y, Y, od Y10R do Y80R</w:t>
            </w:r>
          </w:p>
        </w:tc>
        <w:tc>
          <w:tcPr>
            <w:tcW w:w="19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0E670E7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 xml:space="preserve">neutralne, biele, szarości, ugry, przełamane </w:t>
            </w:r>
            <w:r>
              <w:t>róże, oliwkowe zielenie</w:t>
            </w:r>
          </w:p>
        </w:tc>
      </w:tr>
      <w:tr w:rsidR="007B2DE3" w14:paraId="3BF7B153" w14:textId="77777777">
        <w:tc>
          <w:tcPr>
            <w:tcW w:w="9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AE143F9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EF965CD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45 lub 50</w:t>
            </w:r>
          </w:p>
        </w:tc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0C321BE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maks. 10</w:t>
            </w:r>
          </w:p>
        </w:tc>
        <w:tc>
          <w:tcPr>
            <w:tcW w:w="18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8F25FAC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9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54D27AB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</w:tr>
      <w:tr w:rsidR="007B2DE3" w14:paraId="4D37DDC1" w14:textId="77777777">
        <w:tc>
          <w:tcPr>
            <w:tcW w:w="9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85A8DB4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4FAEFFC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maks. 75</w:t>
            </w:r>
          </w:p>
        </w:tc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9D555DD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maks. 02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84BC56B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pełny zakres</w:t>
            </w:r>
          </w:p>
        </w:tc>
        <w:tc>
          <w:tcPr>
            <w:tcW w:w="1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DE1744E" w14:textId="77777777" w:rsidR="00A77B3E" w:rsidRDefault="00115629">
            <w:pPr>
              <w:jc w:val="center"/>
              <w:rPr>
                <w:color w:val="000000"/>
                <w:u w:color="000000"/>
              </w:rPr>
            </w:pPr>
            <w:r>
              <w:t>neutralne, biele, szarości, grafity</w:t>
            </w:r>
          </w:p>
        </w:tc>
      </w:tr>
    </w:tbl>
    <w:p w14:paraId="7343140B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nakaz stosowania dla zewnętrznej stolarki i zewnętrznej ślusarki naturalnej kolorystyki drewna i metalu lub kolorystyki spośród </w:t>
      </w:r>
      <w:r>
        <w:rPr>
          <w:color w:val="000000"/>
          <w:u w:color="000000"/>
        </w:rPr>
        <w:t>barw: beżowej, odpowiadającej w systemie RAL barwom 1000-1002, 1013-1015, 1019 i 1020, ciemnoczerwonej – 3005-3009 ciemnogranatowej – 5001, 5003, 5004, 5008, 5011 i 5013, zielonej w odcieniach oliwkowych, pistacjowych i ciemnych – 6003, 6005-6009, 6011-6015 i 6019-6021, szarej – 7000-7047, brązowej – 8000-8028, białej lub czarnej – 9001-9005 i 9010-9018,</w:t>
      </w:r>
    </w:p>
    <w:p w14:paraId="6F64EF84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dachów innych niż płaskie – nakaz stosowania pokrycia wyłącznie w postaci:</w:t>
      </w:r>
    </w:p>
    <w:p w14:paraId="0E458F2C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dachowej lub materiału bitumicznego w odcieniach szarości, grafitu lub srebra,</w:t>
      </w:r>
    </w:p>
    <w:p w14:paraId="1D9233F9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dachówki w odcieniach szarości, grafitu lub czerwieni,</w:t>
      </w:r>
    </w:p>
    <w:p w14:paraId="0CE098A6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 bezbarwnego lub w odcieniach szarości,</w:t>
      </w:r>
    </w:p>
    <w:p w14:paraId="1F4CCCD5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fotowoltaicznych,</w:t>
      </w:r>
    </w:p>
    <w:p w14:paraId="605AC784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innych rozwiązań materiałowych i kolorystycznych niż wymienione w lit. a-d w </w:t>
      </w:r>
      <w:r>
        <w:rPr>
          <w:color w:val="000000"/>
          <w:u w:color="000000"/>
        </w:rPr>
        <w:t>przypadku indywidualnego opracowania artystycznego ścian w postaci muralu lub instalacji artystycznej;</w:t>
      </w:r>
    </w:p>
    <w:p w14:paraId="15A4FF6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wymagań dotyczących lokalizacji urządzeń technicznych – zakaz lokalizacji na elewacjach od strony terenu 1KDZ elementów technicznego wyposażenia budynków, w tym: klimatyzatorów, anten, przewodów dymowych, wentylacyjnych i instalacji technicznej, za wyjątkiem skrzynek przyłączy i elementów służących iluminacji budynków i zapewnieniu bezpieczeństwa;</w:t>
      </w:r>
    </w:p>
    <w:p w14:paraId="75E5D95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6) </w:t>
      </w:r>
      <w:r>
        <w:rPr>
          <w:color w:val="000000"/>
          <w:u w:color="000000"/>
        </w:rPr>
        <w:t>w zakresie wymagań dotyczących lokalizacji miejsc gromadzenia odpadów stałych dopuszczenie ich lokalizacji wyłącznie w budynkach oraz poza budynkami w wiatach, usytuowanych w odległości minimum 15,0 m od linii zabudowy;</w:t>
      </w:r>
    </w:p>
    <w:p w14:paraId="0DCFEC26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realizacji tymczasowych obiektów budowlanych, za wyjątkiem:</w:t>
      </w:r>
    </w:p>
    <w:p w14:paraId="7CA325EC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obiektów zaplecza budowy, na czas określony w pozwoleniu na budowę,</w:t>
      </w:r>
    </w:p>
    <w:p w14:paraId="19F2D0D0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kiosków lokalizowanych w pasach drogowych zintegrowanych z wiatami przystankowymi komunikacji publicznej.</w:t>
      </w:r>
    </w:p>
    <w:p w14:paraId="13417BA1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Ustala się następujące wymagania wynikające z potrzeb kształtowania </w:t>
      </w:r>
      <w:r>
        <w:rPr>
          <w:color w:val="000000"/>
          <w:u w:color="000000"/>
        </w:rPr>
        <w:t>przestrzeni publicznych, do których na obszarze planu należy teren 1KDZ (ul. Andrzeja Struga) – nakaz stosowania rozwiązań technicznych uwzględniających potrzeby osób ze szczególnymi potrzebami.</w:t>
      </w:r>
    </w:p>
    <w:p w14:paraId="52308E94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krajobrazu:</w:t>
      </w:r>
    </w:p>
    <w:p w14:paraId="2BDA9B5C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 za wyjątkiem:</w:t>
      </w:r>
    </w:p>
    <w:p w14:paraId="7C86D8DB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zespołów zabudowy mieszkaniowej, usługowej, garaży i parkingów samochodowych oraz zespołów parkingów wraz z towarzyszącą im infrastrukturą,</w:t>
      </w:r>
    </w:p>
    <w:p w14:paraId="5C3A51DA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przedsięwzięć dotyczących infrastruktury technicznej,</w:t>
      </w:r>
    </w:p>
    <w:p w14:paraId="4463019F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dróg;</w:t>
      </w:r>
    </w:p>
    <w:p w14:paraId="2541FA0B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punktów zbierania i przetwarzania odpadów, w tym złomu;</w:t>
      </w:r>
    </w:p>
    <w:p w14:paraId="6F224432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dopuszczenie lokalizacji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, o których mowa w przepisach odrębnych z zakresu odnawialnych źródeł energii;</w:t>
      </w:r>
    </w:p>
    <w:p w14:paraId="109F27F4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gospodarki wodnej i odprowadzania ścieków:</w:t>
      </w:r>
    </w:p>
    <w:p w14:paraId="44CC83CC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rozwiązań umożliwiających wykorzystanie lub retencjonowanie wód opadowych i roztopowych w miejscu ich powstania, z dopuszczeniem odprowadzenia ich do odbiornika na warunkach określonych w przepisach odrębnych dotyczących zbiorowego zaopatrzenia w wodę i zbiorowego odprowadzania ścieków oraz prawa wodnego, a także budownictwa,</w:t>
      </w:r>
    </w:p>
    <w:p w14:paraId="74E8FFE0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stosowania rozwiązań technicznych stwarzających możliwość zanieczyszczenia wód;</w:t>
      </w:r>
    </w:p>
    <w:p w14:paraId="29AD1B4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powierzchni ziemi oraz gospodarki odpadami – nakaz zapewnienia dla nieruchomości miejsca służącego do czasowego gromadzenia odpadów stałych, z uwzględnieniem wymogów wynikających z przepisów odrębnych dotyczących budownictwa oraz dotyczących utrzymania czystości i porządku w gminie;</w:t>
      </w:r>
    </w:p>
    <w:p w14:paraId="70FB4F3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– zakaz stosowania źródeł zaopatrzenia w ciepło powodujących emisję substancji przekraczającą dopuszczalne normy;</w:t>
      </w:r>
    </w:p>
    <w:p w14:paraId="741B29E7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– zakaz lokalizacji infrastruktury technicznej, która powoduje przekroczenie dopuszczalnych poziomów pól elektromagnetycznych w środowisku, określonych w przepisach odrębnych z zakresu środowiska, w budynkach z pomieszczeniami przeznaczonymi na pobyt ludzi w rozumieniu przepisów odrębnych z zakresu budownictwa;</w:t>
      </w:r>
    </w:p>
    <w:p w14:paraId="512367D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hałasem – tereny 1MW-U i 2MW-U zalicza się do terenów chronionych akustycznie określonych jako „tereny w strefie śródmiejskiej miast powyżej 100 tys. mieszkańców”, w rozumieniu przepisów odrębnych dotyczących ochrony środowiska.</w:t>
      </w:r>
    </w:p>
    <w:p w14:paraId="5653BD15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8. </w:t>
      </w:r>
      <w:r>
        <w:rPr>
          <w:color w:val="000000"/>
          <w:u w:color="000000"/>
        </w:rPr>
        <w:t>W zakresie zasad ochrony dziedzictwa kulturowego i zabytków, w tym krajobrazów kulturowych, wprowadza się strefę ochrony konserwatorskiej elementów rozplanowania oraz zabytków obejmującą cały obszar objęty planem, dla której ustala się nakaz kształtowania nowej zabudowy w sposób podkreślający wartość historyczną zabytków znajdujących się w tej strefie, przy zachowaniu powiązań z otoczeniem, w tym zakaz stosowania na elewacjach zewnętrznych budynków materiałów wykończeniowych w postaci: okładzin elewacyjnych</w:t>
      </w:r>
      <w:r>
        <w:rPr>
          <w:color w:val="000000"/>
          <w:u w:color="000000"/>
        </w:rPr>
        <w:t xml:space="preserve"> typu </w:t>
      </w:r>
      <w:proofErr w:type="spellStart"/>
      <w:r>
        <w:rPr>
          <w:color w:val="000000"/>
          <w:u w:color="000000"/>
        </w:rPr>
        <w:t>elastolith</w:t>
      </w:r>
      <w:proofErr w:type="spellEnd"/>
      <w:r>
        <w:rPr>
          <w:color w:val="000000"/>
          <w:u w:color="000000"/>
        </w:rPr>
        <w:t>, z gresu, glazury, blach trapezowych i falistych, blachodachówki, winylu, PCV, oraz zakaz realizacji jednolitych (monolitycznych) nawierzchni betonowych lub asfaltowych.</w:t>
      </w:r>
    </w:p>
    <w:p w14:paraId="6589B2E2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W zakresie zasad i warunków scalania i podziału nieruchomości:</w:t>
      </w:r>
    </w:p>
    <w:p w14:paraId="6EA0634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14:paraId="1A0DE9E6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nieruchomości, dokonywanego na wniosek, określono w ustaleniach szczegółowych w rozdziale 3.</w:t>
      </w:r>
    </w:p>
    <w:p w14:paraId="22D2D221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 zawartych w rozdziale 3, nie obowiązują dla działek gruntu wydzielonych pod drogi lub pod infrastrukturę techniczną.</w:t>
      </w:r>
    </w:p>
    <w:p w14:paraId="0CD410F6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14:paraId="3E9B601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z pomieszczeniami przeznaczonymi na pobyt ludzi we wskazanej na rysunku planu strefie ochronnej od napowietrznej linii elektroenergetycznej 110kV, wynoszącej do 18,0 m od osi linii;</w:t>
      </w:r>
    </w:p>
    <w:p w14:paraId="69C2516E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zakaz dotyczący strefy ochronnej nie obowiązuje;</w:t>
      </w:r>
    </w:p>
    <w:p w14:paraId="5EBAEB8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wynikające z przepisów odrębnych </w:t>
      </w:r>
      <w:r>
        <w:rPr>
          <w:color w:val="000000"/>
          <w:u w:color="000000"/>
        </w:rPr>
        <w:t>dotyczących prawa lotniczego:</w:t>
      </w:r>
    </w:p>
    <w:p w14:paraId="43EBBDCB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ograniczenie wysokości obiektów naturalnych i sztucznych, w tym obiektów budowlanych, obejmujące również kominy, anteny oraz inne urządzenia umieszczane na obiekcie, w tym stanowiące inwestycje celu publicznego z zakresu łączności publicznej, ze względu na położenie planu w zasięgu powierzchni ograniczających przeszkody dla Portu Lotniczego Łódź im. Władysława Reymonta,</w:t>
      </w:r>
    </w:p>
    <w:p w14:paraId="45DCDD5A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budowy lub rozbudowy obiektów budowlanych sprzyjających występowaniu zwierząt stwarzających zagrożenie dla ruchu statków powietrznych – na obszarze całego planu,</w:t>
      </w:r>
    </w:p>
    <w:p w14:paraId="45249FE9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ograniczenie wysokości zabudowy, ze względu na położenie obszaru planu w zasięgu powierzchni ograniczających zabudowę (BRA) od lotniczych urządzeń naziemnych (LUN) – na obszarze całego planu.</w:t>
      </w:r>
    </w:p>
    <w:p w14:paraId="29177BCC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 zakresie zasad modernizacji, rozbudowy i budowy systemów komunikacji oraz obsługi komunikacyjnej terenów przyległych ustala się, że układ komunikacyjny służący obsłudze obszaru objętego planem stanowią:</w:t>
      </w:r>
    </w:p>
    <w:p w14:paraId="04F505E6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drogi zbiorczej oznaczony symbolem 1KDZ – ul. Andrzeja Struga;</w:t>
      </w:r>
    </w:p>
    <w:p w14:paraId="46EFF24A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wewnętrzne niewyznaczone na rysunku planu.</w:t>
      </w:r>
    </w:p>
    <w:p w14:paraId="7E2EE163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W zakresie miejsc do parkowania dla samochodów i rowerów ustala się:</w:t>
      </w:r>
    </w:p>
    <w:p w14:paraId="6789915E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liczbę miejsc do parkowania dla samochodów dla budynków lub ich części przeznaczonych na cele:</w:t>
      </w:r>
    </w:p>
    <w:p w14:paraId="239AAD79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mieszkalne – 0,5 miejsca postojowego na każdy lokal mieszkalny,</w:t>
      </w:r>
    </w:p>
    <w:p w14:paraId="7FFDCB20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administracyjno-biurowe – 1 stanowisko na każde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jednak niż 3 stanowiska,</w:t>
      </w:r>
    </w:p>
    <w:p w14:paraId="46669877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usługowe inne niż administracyjno-biurowe – 1 stanowisko na każde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14:paraId="68F3E13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parkingach dla samochodów osobowych liczących więcej niż 5 miejsc przeznaczonych na postój pojazdów, minimum 4% ogólnej liczby miejsc, lecz nie mniej niż 1 miejsce postojowe, przeznaczyć należy na parkowanie pojazdów zaopatrzonych w kartę parkingową, o której mowa w przepisach o ruchu drogowym, z zastrzeżeniem: dróg publicznych, stref zamieszkania i stref ruchu, dla których minimalną liczbę stanowisk postojowych dla pojazdów zaopatrzonych w kartę parkingową określają przepisy odrębne dotyczące dróg publi</w:t>
      </w:r>
      <w:r>
        <w:rPr>
          <w:color w:val="000000"/>
          <w:u w:color="000000"/>
        </w:rPr>
        <w:t>cznych;</w:t>
      </w:r>
    </w:p>
    <w:p w14:paraId="6F14394C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minimalną liczbę miejsc do parkowania dla rowerów dla budynków lub ich części przeznaczonych na cele:</w:t>
      </w:r>
    </w:p>
    <w:p w14:paraId="75E70088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administracyjno-biurowe – 1 stanowisko na każde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jednak niż 5 stanowisk,</w:t>
      </w:r>
    </w:p>
    <w:p w14:paraId="3A0C5F36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usługowe inne niż administracyjno-biurowe – 1 stanowisko na każde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jednak niż 5 stanowisk.</w:t>
      </w:r>
    </w:p>
    <w:p w14:paraId="07AD7390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Nie ustala się liczby miejsc do parkowania dla samochodów i rowerów dotyczącej zabudowy istniejącej.</w:t>
      </w:r>
    </w:p>
    <w:p w14:paraId="2436FFBB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Wymaganą liczbę miejsc do parkowania dla samochodów i rowerów należy określać:</w:t>
      </w:r>
    </w:p>
    <w:p w14:paraId="6CFD670C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 kolejnej liczby całkowitej;</w:t>
      </w:r>
    </w:p>
    <w:p w14:paraId="50672774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poprzez sumowanie ilości miejsc parkingowych dla </w:t>
      </w:r>
      <w:r>
        <w:rPr>
          <w:color w:val="000000"/>
          <w:u w:color="000000"/>
        </w:rPr>
        <w:t>równoczesnego użytkowania dla obiektów wielofunkcyjnych, zgodnie z wymogami określonymi w pkt 1.</w:t>
      </w:r>
    </w:p>
    <w:p w14:paraId="20615CCB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52318E7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 przebudowę, a także budowę nowych systemów;</w:t>
      </w:r>
    </w:p>
    <w:p w14:paraId="523275D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infrastruktury technicznej jako podziemnej, z wyłączeniem napowietrznych linii elektroenergetycznych o napięciu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lub wyższym oraz elementów </w:t>
      </w:r>
      <w:r>
        <w:rPr>
          <w:color w:val="000000"/>
          <w:u w:color="000000"/>
        </w:rPr>
        <w:t>infrastruktury technicznej, które jedynie jako nadziemne mogą pełnić swoją funkcję.</w:t>
      </w:r>
    </w:p>
    <w:p w14:paraId="74DEBAEC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14:paraId="1FB5F46F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wodociągowa DN800 biegnąca wzdłuż al. Włókniarzy;</w:t>
      </w:r>
    </w:p>
    <w:p w14:paraId="226F142D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komunalnych – kolektor ogólnospławny II;</w:t>
      </w:r>
    </w:p>
    <w:p w14:paraId="1A65D1A0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podstawowy element zaopatrzenia w gaz – gazociąg niskiego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400 zlokalizowany w ul. Andrzeja Struga;</w:t>
      </w:r>
    </w:p>
    <w:p w14:paraId="4F27A15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źródła zaopatrzenia w ciepło systemowe – rurociągi wody gorącej 2 x 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80 biegnące wzdłuż południowo-zachodniej granicy planu;</w:t>
      </w:r>
    </w:p>
    <w:p w14:paraId="3E658BFA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zasilania w energię elektryczną – Rejonowy Punkt Zasilania Łąkowa 110/15kV.</w:t>
      </w:r>
    </w:p>
    <w:p w14:paraId="58B7DBF2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14. 1. </w:t>
      </w:r>
      <w:r>
        <w:rPr>
          <w:color w:val="000000"/>
          <w:u w:color="000000"/>
        </w:rPr>
        <w:t>Ustala się granice terenów rozmieszczenia inwestycji celu publicznego o znaczeniu lokalnym, które stanowią wskazane na rysunku planu linie rozgraniczające terenu drogi publicznej oznaczonej symbolem 1KDZ.</w:t>
      </w:r>
    </w:p>
    <w:p w14:paraId="207DC2DC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lub ponadlokalnym w granicach terenów niewymienionych w ust. 1 pod warunkiem ich zgodności z przeznaczeniem terenu.</w:t>
      </w:r>
    </w:p>
    <w:p w14:paraId="13A933A3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14:paraId="5D2EB327" w14:textId="77777777" w:rsidR="00A77B3E" w:rsidRDefault="00115629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639BCF2F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Dla terenów oznaczonych na rysunku planu symbolami 1MW-U i 2MW-U obowiązują ustalenia zawarte w kolejnych ustępach niniejszego paragrafu.</w:t>
      </w:r>
    </w:p>
    <w:p w14:paraId="6B682D1E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697B915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wielorodzinnej lub usług;</w:t>
      </w:r>
    </w:p>
    <w:p w14:paraId="55A424BB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15220C6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6437A0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14:paraId="75AE375C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378EC12E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7A95C5D1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35%,</w:t>
      </w:r>
    </w:p>
    <w:p w14:paraId="5ED2E766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nadziemna </w:t>
      </w:r>
      <w:r>
        <w:rPr>
          <w:color w:val="000000"/>
          <w:u w:color="000000"/>
        </w:rPr>
        <w:t>intensywność zabudowy:</w:t>
      </w:r>
    </w:p>
    <w:p w14:paraId="5C04134A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1MW-U – minimum 0,1, maksimum 1,5,</w:t>
      </w:r>
    </w:p>
    <w:p w14:paraId="2364D28E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2MW-U – minimum 0,1, maksimum 2,0,</w:t>
      </w:r>
    </w:p>
    <w:p w14:paraId="6DEE4ECD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intensywność zabudowy:</w:t>
      </w:r>
    </w:p>
    <w:p w14:paraId="6A51F7AB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1MW-U – 2,2,</w:t>
      </w:r>
    </w:p>
    <w:p w14:paraId="65975C38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2MW-U – 3,8,</w:t>
      </w:r>
    </w:p>
    <w:p w14:paraId="7AB9CF45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udział powierzchni biologicznie czynnej – </w:t>
      </w:r>
      <w:r>
        <w:rPr>
          <w:color w:val="000000"/>
          <w:u w:color="000000"/>
        </w:rPr>
        <w:t>minimum 30%;</w:t>
      </w:r>
    </w:p>
    <w:p w14:paraId="45517EBB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62779EBA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22113AC3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linii zabudowy obowiązującej lub równoległej oraz w odległości do 15,0 m od tej linii – minimum 7 m,</w:t>
      </w:r>
    </w:p>
    <w:p w14:paraId="0A08019E" w14:textId="77777777" w:rsidR="00A77B3E" w:rsidRDefault="00115629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maksimum 17,5 m,</w:t>
      </w:r>
    </w:p>
    <w:p w14:paraId="7032B568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 lub dwuspadowe o symetrycznym nachyleniu połaci dachowych do 30º;</w:t>
      </w:r>
    </w:p>
    <w:p w14:paraId="64663AA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zagospodarowania, zabudowy oraz lokalizacji obiektów i funkcji:</w:t>
      </w:r>
    </w:p>
    <w:p w14:paraId="40E5442E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miejsc do parkowania na powierzchni działki, w odległości mniejszej niż 15,0 m od linii rozgraniczającej terenu 1KDZ,</w:t>
      </w:r>
    </w:p>
    <w:p w14:paraId="367569EF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zakaz lokalizacji budynków usytuowanych poza linią zabudowy obowiązującą w odległości mniejszej niż 15,0 m od tej linii.</w:t>
      </w:r>
    </w:p>
    <w:p w14:paraId="516DCBC4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7C2F0527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32E59909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30,0 m;</w:t>
      </w:r>
    </w:p>
    <w:p w14:paraId="2D2CCF74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2°.</w:t>
      </w:r>
    </w:p>
    <w:p w14:paraId="2B1F5F2C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terenu oznaczonego na rysunku planu symbolem 1KDZ obowiązują ustalenia zawarte w kolejnych ustępach niniejszego paragrafu.</w:t>
      </w:r>
    </w:p>
    <w:p w14:paraId="6D92E024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6ADB805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drogi zbiorczej;</w:t>
      </w:r>
    </w:p>
    <w:p w14:paraId="417963DE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68F9237F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rowerowej,</w:t>
      </w:r>
    </w:p>
    <w:p w14:paraId="38D3B5E6" w14:textId="77777777" w:rsidR="00A77B3E" w:rsidRDefault="00115629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 infrastruktury technicznej – z wykluczeniem terenów: magazynu gazu, </w:t>
      </w:r>
      <w:r>
        <w:rPr>
          <w:color w:val="000000"/>
          <w:u w:color="000000"/>
        </w:rPr>
        <w:t>obsługi produktów naftowych i gospodarowania odpadami.</w:t>
      </w:r>
    </w:p>
    <w:p w14:paraId="2CF60E93" w14:textId="77777777" w:rsidR="00A77B3E" w:rsidRDefault="00115629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parametrów funkcjonalno-technicznych ustala się:</w:t>
      </w:r>
    </w:p>
    <w:p w14:paraId="7699E4F5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Z – zbiorcza;</w:t>
      </w:r>
    </w:p>
    <w:p w14:paraId="08F176C1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zmienną od 16,9 m do 17,7 m, zgodnie z rysunkiem planu.</w:t>
      </w:r>
    </w:p>
    <w:p w14:paraId="32658562" w14:textId="77777777" w:rsidR="00A77B3E" w:rsidRDefault="00115629">
      <w:pPr>
        <w:keepNext/>
        <w:spacing w:before="24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7BBACE13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18.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4880A810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19. </w:t>
      </w:r>
      <w:r>
        <w:rPr>
          <w:color w:val="000000"/>
          <w:u w:color="000000"/>
        </w:rPr>
        <w:t>Tracą moc uchwały Rady Miejskiej w Łodzi:</w:t>
      </w:r>
    </w:p>
    <w:p w14:paraId="0ABC3CB7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Nr XL/1073/17 z dnia 11 stycznia 2017 r. w sprawie uchwalenia miejscowego planu zagospodarowania przestrzennego dla części obszaru miasta Łodzi położonej w rejonie ulic Andrzeja Struga i Łąkowej (Dz. Urz. Woj. Łódzkiego poz. 653) – w części odnoszącej się do obszaru objętego ustaleniami niniejszej uchwały;</w:t>
      </w:r>
    </w:p>
    <w:p w14:paraId="7271F638" w14:textId="77777777" w:rsidR="00A77B3E" w:rsidRDefault="00115629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Nr XL/1074/17 z dnia 11 stycznia 2017 r. w sprawie uchwalenia miejscowego planu zagospodarowania przestrzennego dla części obszaru miasta Łodzi położonej w rejonie ulic: Andrzeja Struga i Łąkowej oraz alei Włókniarzy (Dz. Urz. Woj. Łódzkiego poz. 654).</w:t>
      </w:r>
    </w:p>
    <w:p w14:paraId="18FFB5F6" w14:textId="77777777" w:rsidR="00A77B3E" w:rsidRDefault="00115629">
      <w:pPr>
        <w:keepLines/>
        <w:spacing w:before="240" w:after="120"/>
        <w:ind w:firstLine="567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Wykonanie uchwały powierza się Prezydentowi Miasta Łodzi.</w:t>
      </w:r>
    </w:p>
    <w:p w14:paraId="24F45C56" w14:textId="77777777" w:rsidR="00A77B3E" w:rsidRDefault="00115629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21. </w:t>
      </w:r>
      <w:r>
        <w:rPr>
          <w:color w:val="000000"/>
          <w:u w:color="000000"/>
        </w:rPr>
        <w:t>Uchwała wchodzi w życie po upływie 14 dni od dnia jej ogłoszenia w Dzienniku Urzędowym Województwa Łódzkiego.</w:t>
      </w:r>
    </w:p>
    <w:p w14:paraId="4D870B09" w14:textId="77777777" w:rsidR="00A77B3E" w:rsidRDefault="00115629">
      <w:pPr>
        <w:keepNext/>
        <w:keepLines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50BF3029" w14:textId="77777777" w:rsidR="00A77B3E" w:rsidRDefault="00115629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995"/>
      </w:tblGrid>
      <w:tr w:rsidR="007B2DE3" w14:paraId="1062F0E1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A77135" w14:textId="77777777" w:rsidR="007B2DE3" w:rsidRDefault="007B2DE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AECFB4" w14:textId="77777777" w:rsidR="007B2DE3" w:rsidRDefault="00115629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3EBF9BF7" w14:textId="77777777" w:rsidR="00A77B3E" w:rsidRDefault="00115629">
      <w:pPr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57CF1D5C" w14:textId="77777777" w:rsidR="00A77B3E" w:rsidRDefault="00115629">
      <w:pPr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3FA628F7" w14:textId="77777777" w:rsidR="00A77B3E" w:rsidRDefault="00115629">
      <w:pPr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647E5DB3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5EDD914A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4E96ABF" wp14:editId="19B0F648">
            <wp:extent cx="6272059" cy="442964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059" cy="44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A7FC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1</w:t>
      </w:r>
    </w:p>
    <w:p w14:paraId="41086229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4E4FA47" wp14:editId="4F6252A1">
            <wp:extent cx="6271014" cy="664727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1014" cy="664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A338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2</w:t>
      </w:r>
    </w:p>
    <w:p w14:paraId="2244A3DE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0A08C65B" wp14:editId="0DAE38B3">
            <wp:extent cx="6267126" cy="6556980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126" cy="65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2D54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3</w:t>
      </w:r>
    </w:p>
    <w:p w14:paraId="7E8AB366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FC1E1DF" wp14:editId="7C0326B6">
            <wp:extent cx="6266951" cy="6564631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6951" cy="65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3FA0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4</w:t>
      </w:r>
    </w:p>
    <w:p w14:paraId="72C2A26E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FF11A51" wp14:editId="7F8B5530">
            <wp:extent cx="6269744" cy="6614579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9744" cy="66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56D7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5</w:t>
      </w:r>
    </w:p>
    <w:p w14:paraId="7FB639C3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F500262" wp14:editId="5B782B76">
            <wp:extent cx="6271535" cy="6600791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1535" cy="660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EEDF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6</w:t>
      </w:r>
    </w:p>
    <w:p w14:paraId="13228C66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2C28411C" wp14:editId="1F569096">
            <wp:extent cx="6266560" cy="6532889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6560" cy="65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DF0D" w14:textId="77777777" w:rsidR="00A77B3E" w:rsidRDefault="00115629">
      <w:pPr>
        <w:jc w:val="left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LEGENDA</w:t>
      </w:r>
    </w:p>
    <w:p w14:paraId="1829BFD4" w14:textId="77777777" w:rsidR="00A77B3E" w:rsidRDefault="00115629">
      <w:pPr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6F593EC" wp14:editId="26389EE0">
            <wp:extent cx="5047671" cy="7994249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7671" cy="79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425" w14:textId="77777777" w:rsidR="00A77B3E" w:rsidRDefault="00A77B3E">
      <w:pPr>
        <w:jc w:val="left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392F7E5" w14:textId="77777777" w:rsidR="00A77B3E" w:rsidRDefault="00115629">
      <w:pPr>
        <w:keepNext/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183CFED6" w14:textId="77777777" w:rsidR="00A77B3E" w:rsidRDefault="00115629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złożonych w trakcie konsultacji </w:t>
      </w:r>
      <w:r>
        <w:rPr>
          <w:b/>
          <w:color w:val="000000"/>
          <w:u w:color="000000"/>
        </w:rPr>
        <w:t>społecznych.</w:t>
      </w:r>
    </w:p>
    <w:p w14:paraId="770907C5" w14:textId="77777777" w:rsidR="00A77B3E" w:rsidRDefault="00115629">
      <w:pPr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ulicy Andrzeja Struga 82/84 i 86 został poddany konsultacjom społecznym w okresie od 8 kwietnia do 8 maja 2025 r.</w:t>
      </w:r>
    </w:p>
    <w:p w14:paraId="307BFAF7" w14:textId="77777777" w:rsidR="00A77B3E" w:rsidRDefault="00115629">
      <w:pPr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W terminie wyznaczonym do wnoszenia uwag, tj. do 8 maja 2025 r., nie wpłynęła żadna uwaga.</w:t>
      </w:r>
    </w:p>
    <w:p w14:paraId="1F57ACE0" w14:textId="77777777" w:rsidR="00A77B3E" w:rsidRDefault="00115629">
      <w:pPr>
        <w:keepNext/>
        <w:spacing w:after="120"/>
        <w:ind w:left="67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018FCA5F" w14:textId="77777777" w:rsidR="00A77B3E" w:rsidRDefault="00115629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zasadach ich finansowania, zgodnie z przepisami o finansach publicznych.</w:t>
      </w:r>
    </w:p>
    <w:p w14:paraId="04534C72" w14:textId="77777777" w:rsidR="00A77B3E" w:rsidRDefault="00115629">
      <w:pPr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w planie należy:</w:t>
      </w:r>
    </w:p>
    <w:p w14:paraId="0AA87228" w14:textId="77777777" w:rsidR="00A77B3E" w:rsidRDefault="00115629">
      <w:pPr>
        <w:rPr>
          <w:color w:val="000000"/>
          <w:u w:color="000000"/>
        </w:rPr>
      </w:pPr>
      <w:r>
        <w:rPr>
          <w:color w:val="000000"/>
          <w:u w:color="000000"/>
        </w:rPr>
        <w:t>- brak ww. zadań.</w:t>
      </w:r>
    </w:p>
    <w:p w14:paraId="7B30251A" w14:textId="77777777" w:rsidR="00A77B3E" w:rsidRDefault="00115629">
      <w:pPr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gminy objętych wieloletnią prognozą finansową.</w:t>
      </w:r>
    </w:p>
    <w:p w14:paraId="010C5CB4" w14:textId="77777777" w:rsidR="00A77B3E" w:rsidRDefault="00115629">
      <w:pPr>
        <w:keepNext/>
        <w:keepLines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zewnętrznych.</w:t>
      </w:r>
    </w:p>
    <w:p w14:paraId="524D0DA0" w14:textId="77777777" w:rsidR="00A77B3E" w:rsidRDefault="00A77B3E">
      <w:pPr>
        <w:keepNext/>
        <w:keepLines/>
        <w:rPr>
          <w:color w:val="000000"/>
          <w:u w:color="000000"/>
        </w:rPr>
      </w:pPr>
    </w:p>
    <w:p w14:paraId="7110A1B8" w14:textId="77777777" w:rsidR="00A77B3E" w:rsidRDefault="00115629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995"/>
      </w:tblGrid>
      <w:tr w:rsidR="007B2DE3" w14:paraId="36DE05DD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18F90C" w14:textId="77777777" w:rsidR="007B2DE3" w:rsidRDefault="007B2DE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16F5BC" w14:textId="77777777" w:rsidR="007B2DE3" w:rsidRDefault="00115629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7E93BD95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4DCF638" w14:textId="77777777" w:rsidR="00A77B3E" w:rsidRDefault="00115629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                    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2025 r.</w:t>
      </w:r>
      <w:r>
        <w:rPr>
          <w:color w:val="000000"/>
          <w:u w:color="000000"/>
        </w:rPr>
        <w:br/>
      </w:r>
      <w:hyperlink r:id="rId26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2BDE63D7" w14:textId="77777777" w:rsidR="00A77B3E" w:rsidRDefault="00115629">
      <w:pPr>
        <w:keepNext/>
        <w:spacing w:after="280"/>
        <w:jc w:val="center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ujawnione zostaną po kliknięciu w ikonę</w:t>
      </w:r>
    </w:p>
    <w:p w14:paraId="0DA8EA01" w14:textId="77777777" w:rsidR="007B2DE3" w:rsidRDefault="007B2DE3">
      <w:pPr>
        <w:jc w:val="left"/>
        <w:rPr>
          <w:szCs w:val="20"/>
        </w:rPr>
      </w:pPr>
    </w:p>
    <w:p w14:paraId="2425D300" w14:textId="77777777" w:rsidR="007B2DE3" w:rsidRDefault="00115629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5A1C6809" w14:textId="77777777" w:rsidR="007B2DE3" w:rsidRDefault="00115629">
      <w:pPr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obszaru miasta Łodzi położonej w rejonie ulicy Andrzeja Struga 82/84 i 86.</w:t>
      </w:r>
    </w:p>
    <w:p w14:paraId="0ED01496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(wraz z „Prognozą oddziaływania na środowisko” i „</w:t>
      </w:r>
      <w:r>
        <w:rPr>
          <w:szCs w:val="20"/>
        </w:rPr>
        <w:t xml:space="preserve">Analizą wpływu ustaleń projektu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na finanse publiczne, w tym na budżet gminy</w:t>
      </w:r>
      <w:r>
        <w:rPr>
          <w:color w:val="000000"/>
          <w:szCs w:val="20"/>
          <w:u w:color="000000"/>
        </w:rPr>
        <w:t>”) został opracowany na podstawie uchwały Nr LXXXVI/2607/24 Rady Miejskiej w Łodzi z dnia 17 stycznia 2024 r. w sprawie przystąpienia do sporządzenia miejscowego planu zagospodarowania przestrzennego dla części obszaru miasta Łodzi położonej w rejonie ulicy Andrzeja Struga 82/84 i 86. Powierzchnia obszaru objętego ustaleniami planu wynosi ok. 1,9 ha.</w:t>
      </w:r>
    </w:p>
    <w:p w14:paraId="5FB286DF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planu, zgodnie z jego uchwałą inicjującą, jest ustalenie przeznaczenia i sposobu zagospodarowania terenów zgodnie z wymogami ładu przestrzennego oraz realizowaną polityką przestrzenną miasta określoną w obowiązującym Studium uwarunkowań i kierunków zagospodarowania przestrzennego miasta Łodzi uchwalonym uchwałą Nr LXIX/1753/18 Rady Miejskiej w Łodzi z dnia 28 marca 2018 r., zmienioną uchwałami Rady Miejskiej w Łodzi Nr VI/215/19 z dnia 6 marca 2019 r. i Nr LII/1605/21 z dnia 22 grudnia 2021 r.</w:t>
      </w:r>
    </w:p>
    <w:p w14:paraId="5EED04AF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Obszar objęty planem znajduje się na terenie osiedla Stare Polesie. W granicach obszaru znajduje się istniejąca zabudowa mieszkaniowa </w:t>
      </w:r>
      <w:r>
        <w:rPr>
          <w:color w:val="000000"/>
          <w:szCs w:val="20"/>
          <w:u w:color="000000"/>
        </w:rPr>
        <w:t>wielorodzinna i usługowa.</w:t>
      </w:r>
    </w:p>
    <w:p w14:paraId="45D98816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przedstawionej uchwały jest zgodny z obowiązującym Studium uwarunkowań i kierunków zagospodarowania przestrzennego miasta Łodzi. Dla obszaru objętego planem miejscowym Studium wyznacza tereny przekształcania historycznej struktury przestrzennej – wielofunkcyjne kwartały śródmiejskie III (W3b).</w:t>
      </w:r>
    </w:p>
    <w:p w14:paraId="45469E04" w14:textId="77777777" w:rsidR="007B2DE3" w:rsidRDefault="00115629">
      <w:pPr>
        <w:rPr>
          <w:i/>
          <w:szCs w:val="20"/>
        </w:rPr>
      </w:pPr>
      <w:r>
        <w:rPr>
          <w:color w:val="000000"/>
          <w:szCs w:val="20"/>
          <w:u w:color="000000"/>
        </w:rPr>
        <w:t>Obszar objęty projektem planu jest w całości objęty obowiązującymi miejscowymi planami zagospodarowania przestrzennego, uchwalonymi uchwałami Rady Miejskiej w</w:t>
      </w:r>
      <w:r>
        <w:rPr>
          <w:szCs w:val="20"/>
        </w:rPr>
        <w:t> Łodzi: Nr XL/1073/17 z dnia 11 stycznia 2017 r. w sprawie uchwalenia miejscowego planu zagospodarowania przestrzennego dla części obszaru miasta Łodzi położonej w rejonie ulic Andrzeja Struga i Łąkowej oraz Nr XL/1074/17 z dnia 11 stycznia 2017 r. w sprawie uchwalenia miejscowego planu zagospodarowania przestrzennego dla części obszaru miasta Łodzi położonej w rejonie ulic: Andrzeja Struga i Łąkowej oraz alei Włókniarzy. Niniejszy projekt planu zmienia ustalenia ww. uchwał w zakresie niezbędnym do przekszt</w:t>
      </w:r>
      <w:r>
        <w:rPr>
          <w:szCs w:val="20"/>
        </w:rPr>
        <w:t>ałcenia obsługi komunikacyjnej w sposób niekolidujący z istniejącą zielenią znajdującą się w terenie drogi publicznej klasy dojazdowej w obowiązującym planie miejscowym. Z uwagi na posiadanie przez wszystkie przylegające do tej drogi nieruchomości dostępu do drogi publicznej bezpośrednio lub za pomocą służebności gruntowych, zdecydowano o jej likwidacji. W niniejszym projekcie planu dopuszczono lokalizację dróg wewnętrznych w terenie budowlanym, aby zwiększyć elastyczność w zakresie możliwości obsługi komun</w:t>
      </w:r>
      <w:r>
        <w:rPr>
          <w:szCs w:val="20"/>
        </w:rPr>
        <w:t>ikacyjnej.</w:t>
      </w:r>
    </w:p>
    <w:p w14:paraId="4128DA1E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 i zagospodarowaniu przestrzennym (Dz. U. z 2024 r. poz. 1130, 1907 i 1940 oraz z 2025 r. poz. 527 i 680).</w:t>
      </w:r>
    </w:p>
    <w:p w14:paraId="5744827F" w14:textId="77777777" w:rsidR="007B2DE3" w:rsidRDefault="007B2DE3">
      <w:pPr>
        <w:rPr>
          <w:color w:val="000000"/>
          <w:szCs w:val="20"/>
          <w:u w:color="000000"/>
        </w:rPr>
      </w:pPr>
    </w:p>
    <w:p w14:paraId="7A4F148E" w14:textId="77777777" w:rsidR="007B2DE3" w:rsidRDefault="00115629">
      <w:pPr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 Realizacja wymogów wynikających z art. 1 ust. 2-4 ustawy z dnia 27 marca 2003 r. o planowaniu i zagospodarowaniu przestrzennym.</w:t>
      </w:r>
    </w:p>
    <w:p w14:paraId="46D4844C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 </w:t>
      </w:r>
      <w:r>
        <w:rPr>
          <w:color w:val="000000"/>
          <w:szCs w:val="20"/>
          <w:u w:val="single" w:color="000000"/>
        </w:rPr>
        <w:t>W projekcie planu uwzględniono:</w:t>
      </w:r>
    </w:p>
    <w:p w14:paraId="61E4230F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1) wymagania ładu przestrzennego, w tym urbanistyki i architektury, potrzeby zrównoważonego rozwoju oraz </w:t>
      </w:r>
      <w:r>
        <w:rPr>
          <w:color w:val="000000"/>
          <w:szCs w:val="20"/>
          <w:u w:color="000000"/>
        </w:rPr>
        <w:t>walory architektoniczne i krajobrazowe poprzez:</w:t>
      </w:r>
    </w:p>
    <w:p w14:paraId="0821F349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określenie przeznaczenia terenów, spójne z dotychczasowymi założeniami i tendencjami w rozwoju obszaru oraz polityką przestrzenną Miasta wyrażoną w studium uwarunkowań i kierunków zagospodarowania przestrzennego, precyzujące założenia urbanistyczne dla jego funkcjonowania,</w:t>
      </w:r>
    </w:p>
    <w:p w14:paraId="197EDC2A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określenie zasad kształtowania zabudowy zgodnie z wyznaczonymi na rysunku planu liniami zabudowy oraz wskaźnikami i parametrami;</w:t>
      </w:r>
    </w:p>
    <w:p w14:paraId="32D0E3EB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2) wymagania ochrony środowiska, w tym gospodarowania wodami, zmniejszania podatności na zmiany klimatu, ochrony gruntów rolnych i leśnych oraz ochrony złóż kopalin poprzez:</w:t>
      </w:r>
    </w:p>
    <w:p w14:paraId="12C46BBE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ustalenie zakazu lokalizacji przedsięwzięć mogących znacząco oddziaływać na środowisko z wyjątkiem zespołów zabudowy mieszkaniowej, usługowej, garaży i parkingów samochodowych oraz zespołów parkingów wraz z towarzyszącą im infrastrukturą, inwestycji z zakresu infrastruktury technicznej i dróg,</w:t>
      </w:r>
    </w:p>
    <w:p w14:paraId="14660270" w14:textId="77777777" w:rsidR="007B2DE3" w:rsidRDefault="00115629">
      <w:pPr>
        <w:ind w:left="227" w:hanging="227"/>
        <w:rPr>
          <w:color w:val="000000"/>
          <w:szCs w:val="20"/>
        </w:rPr>
      </w:pPr>
      <w:r>
        <w:rPr>
          <w:color w:val="000000"/>
          <w:szCs w:val="20"/>
        </w:rPr>
        <w:t xml:space="preserve">b) dopuszczenie lokalizacji </w:t>
      </w:r>
      <w:proofErr w:type="spellStart"/>
      <w:r>
        <w:rPr>
          <w:color w:val="000000"/>
          <w:szCs w:val="20"/>
        </w:rPr>
        <w:t>mikroinstalacji</w:t>
      </w:r>
      <w:proofErr w:type="spellEnd"/>
      <w:r>
        <w:rPr>
          <w:color w:val="000000"/>
          <w:szCs w:val="20"/>
        </w:rPr>
        <w:t>; nie wprowadza się również zakazu, o którym mowa w art. 15 ust. 4 ustawy z dnia 27 marca 2003 r. o planowaniu i zagospodarowaniu przestrzennym,</w:t>
      </w:r>
    </w:p>
    <w:p w14:paraId="28782ED2" w14:textId="77777777" w:rsidR="007B2DE3" w:rsidRDefault="00115629">
      <w:pPr>
        <w:ind w:left="227" w:hanging="227"/>
        <w:rPr>
          <w:color w:val="000000"/>
          <w:szCs w:val="20"/>
        </w:rPr>
      </w:pPr>
      <w:r>
        <w:rPr>
          <w:color w:val="000000"/>
          <w:szCs w:val="20"/>
        </w:rPr>
        <w:t>c) nakaz stosowania kompleksowych rozwiązań w zakresie gospodarki wodnej, odprowadzania ścieków, wód deszczowych i roztopowych oraz gospodarki odpadami poprzez:</w:t>
      </w:r>
    </w:p>
    <w:p w14:paraId="25A9079B" w14:textId="77777777" w:rsidR="007B2DE3" w:rsidRDefault="00115629">
      <w:pPr>
        <w:ind w:left="113" w:hanging="113"/>
        <w:rPr>
          <w:color w:val="000000"/>
          <w:szCs w:val="20"/>
        </w:rPr>
      </w:pPr>
      <w:r>
        <w:rPr>
          <w:color w:val="000000"/>
          <w:szCs w:val="20"/>
        </w:rPr>
        <w:t>- nakaz stosowania rozwiązań umożliwiających wykorzystanie lub retencjonowanie wód opadowych i roztopowych w miejscu ich powstania, z dopuszczeniem odprowadzenia ich do odbiornika na warunkach określonych w przepisach odrębnych dotyczących zbiorowego zaopatrzenia w wodę i zbiorowego odprowadzania ścieków oraz prawa wodnego, a także budownictwa,</w:t>
      </w:r>
    </w:p>
    <w:p w14:paraId="60958C90" w14:textId="77777777" w:rsidR="007B2DE3" w:rsidRDefault="00115629">
      <w:pPr>
        <w:ind w:left="113" w:hanging="113"/>
        <w:rPr>
          <w:color w:val="000000"/>
          <w:szCs w:val="20"/>
        </w:rPr>
      </w:pPr>
      <w:r>
        <w:rPr>
          <w:color w:val="000000"/>
          <w:szCs w:val="20"/>
        </w:rPr>
        <w:t>- prowadzenie gospodarki odpadami poprzez miejski system gospodarki odpadami na zasadach określonych w przepisach odrębnych,</w:t>
      </w:r>
    </w:p>
    <w:p w14:paraId="643E668C" w14:textId="77777777" w:rsidR="007B2DE3" w:rsidRDefault="00115629">
      <w:pPr>
        <w:ind w:left="227" w:hanging="227"/>
        <w:rPr>
          <w:color w:val="000000"/>
          <w:szCs w:val="20"/>
        </w:rPr>
      </w:pPr>
      <w:r>
        <w:rPr>
          <w:color w:val="000000"/>
          <w:szCs w:val="20"/>
        </w:rPr>
        <w:t>d) ustalenie minimalnej powierzchni biologicznie czynnej dla wszystkich terenów, na których dopuszczona jest lokalizacja budynków;</w:t>
      </w:r>
    </w:p>
    <w:p w14:paraId="48F0FAD3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wymagania ochrony zdrowia oraz bezpieczeństwa ludzi i mienia, a także potrzeby osób ze szczególnymi potrzebami, o których mowa w ustawie z dnia 19 lipca 2019 r. o zapewnianiu dostępności osobom ze szczególnymi potrzebami (Dz. U. z 2024 r. poz. 1411) poprzez:</w:t>
      </w:r>
    </w:p>
    <w:p w14:paraId="5FD3550E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ustalenie zasad ochrony środowiska,</w:t>
      </w:r>
    </w:p>
    <w:p w14:paraId="4972E336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ustalenie zasad zagospodarowania przestrzeni publicznych,</w:t>
      </w:r>
    </w:p>
    <w:p w14:paraId="57836263" w14:textId="77777777" w:rsidR="007B2DE3" w:rsidRDefault="00115629">
      <w:pPr>
        <w:ind w:left="227" w:hanging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ograniczenie wysokości obiektów budowlanych na całym obszarze planu do maksymalnie 30,0 m, co uniemożliwia lokalizowanie obiektów stanowiących przeszkody lotnicze,</w:t>
      </w:r>
    </w:p>
    <w:p w14:paraId="66624CA6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 ustalenie szczególnych warunków zagospodarowania terenów oraz ograniczeń w ich użytkowaniu;</w:t>
      </w:r>
    </w:p>
    <w:p w14:paraId="64237097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walory ekonomiczne przestrzeni poprzez:</w:t>
      </w:r>
    </w:p>
    <w:p w14:paraId="3EA34D76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wskazanie linii rozgraniczających tereny przeznaczone pod zabudowę,</w:t>
      </w:r>
    </w:p>
    <w:p w14:paraId="19DF8455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ustalenie wskaźników i parametrów zabudowy pozwalających na realizację inwestycji w sposób ekonomicznie uzasadniony;</w:t>
      </w:r>
    </w:p>
    <w:p w14:paraId="2EE469E7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prawo własności poprzez kształtowanie zagospodarowania w sposób racjonalny, uzasadniony potrzebami interesu publicznego oraz wymogami ochrony środowiska i ładu przestrzennego, możliwie w najmniejszym stopniu ingerujący w grunty stanowiące własność prywatną;</w:t>
      </w:r>
    </w:p>
    <w:p w14:paraId="0BBF7F2A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6) potrzeby obronności i bezpieczeństwa państwa poprzez uzyskanie uzgodnień z właściwymi organami wojskowymi, ochrony granic oraz bezpieczeństwa państwa oraz poprzez możliwość lokalizacji budowli ochronnych, o których mowa w ustawie z dnia 5 grudnia 2024 r. o ochronie ludności i obronie cywilnej (Dz. U. </w:t>
      </w:r>
      <w:proofErr w:type="spellStart"/>
      <w:r>
        <w:rPr>
          <w:color w:val="000000"/>
          <w:szCs w:val="20"/>
          <w:u w:color="000000"/>
        </w:rPr>
        <w:t>poz</w:t>
      </w:r>
      <w:proofErr w:type="spellEnd"/>
      <w:r>
        <w:rPr>
          <w:color w:val="000000"/>
          <w:szCs w:val="20"/>
          <w:u w:color="000000"/>
        </w:rPr>
        <w:t xml:space="preserve"> 1907), zgodnie z art. 15 ust. 5 ustawy z dnia 27 marca 2003 r. o planowaniu i zagospodarowaniu przestrzennym, na terenach, na których dopuszczona jest lokalizacja budynków;</w:t>
      </w:r>
    </w:p>
    <w:p w14:paraId="4C7E233B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7) potrzeby w zakresie rozwoju infrastruktury technicznej, w szczególności sieci </w:t>
      </w:r>
      <w:r>
        <w:rPr>
          <w:color w:val="000000"/>
          <w:szCs w:val="20"/>
          <w:u w:color="000000"/>
        </w:rPr>
        <w:t>szerokopasmowych, określając możliwość wyposażenia terenów w sieci i urządzenia infrastruktury technicznej oraz precyzując zasady ich realizacji;</w:t>
      </w:r>
    </w:p>
    <w:p w14:paraId="1E1A7862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 zapewnienie udziału społeczeństwa w pracach nad sporządzaniem aktu planowania przestrzennego, w tym przy użyciu środków komunikacji elektronicznej, oraz zachowanie jawności i przejrzystości procedur planistycznych poprzez:</w:t>
      </w:r>
    </w:p>
    <w:p w14:paraId="78891B4B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podanie do publicznej wiadomości informacji o przystąpieniu do sporządzenia projektu planu i zbieraniu wniosków, a także rozpoczęciu konsultacji społecznych, spotkaniu otwartym, dyżurach projektanta i zbieraniu uwag zgodnie z wymogami przepisów ustawy z dnia 27 marca 2003 r. o planowaniu i zagospodarowaniu przestrzennym oraz ustawy z dnia 3 października 2008 r. o udostępnianiu informacji o środowisku i jego ochronie, udziale społeczeństwa w ochronie środowiska oraz o ocenach oddziaływania na środowisko (D</w:t>
      </w:r>
      <w:r>
        <w:rPr>
          <w:color w:val="000000"/>
          <w:szCs w:val="20"/>
          <w:u w:color="000000"/>
        </w:rPr>
        <w:t xml:space="preserve">z. U. z 2024 r. poz. 1112, 1881 i 1940), </w:t>
      </w:r>
      <w:r>
        <w:rPr>
          <w:color w:val="000000"/>
          <w:szCs w:val="20"/>
          <w:u w:color="000000"/>
        </w:rPr>
        <w:lastRenderedPageBreak/>
        <w:t xml:space="preserve">w formie ogłoszeń w prasie, </w:t>
      </w:r>
      <w:proofErr w:type="spellStart"/>
      <w:r>
        <w:rPr>
          <w:color w:val="000000"/>
          <w:szCs w:val="20"/>
          <w:u w:color="000000"/>
        </w:rPr>
        <w:t>obwieszczeń</w:t>
      </w:r>
      <w:proofErr w:type="spellEnd"/>
      <w:r>
        <w:rPr>
          <w:color w:val="000000"/>
          <w:szCs w:val="20"/>
          <w:u w:color="000000"/>
        </w:rPr>
        <w:t xml:space="preserve"> zawieszonych na tablicy ogłoszeń oraz zamieszczonych na stronie internetowej Miejskiej Pracowni Urbanistycznej w Łodzi,</w:t>
      </w:r>
    </w:p>
    <w:p w14:paraId="3EE90854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umożliwienie składania wniosków do planu,</w:t>
      </w:r>
    </w:p>
    <w:p w14:paraId="0CF15091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umożliwienie składania uwag do planu,</w:t>
      </w:r>
    </w:p>
    <w:p w14:paraId="20AC7A2F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bieżące informowanie osób zainteresowanych o prowadzonych pracach projektowych oraz możliwość zapoznania się z niezbędną dokumentacją sprawy;</w:t>
      </w:r>
    </w:p>
    <w:p w14:paraId="13D816B2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 potrzebę zapewnienia odpowiedniej ilości i jakości wody, do celów zaopatrzenia ludności poprzez wskazanie podstawowego źródła zaopatrzenia w wodę.</w:t>
      </w:r>
    </w:p>
    <w:p w14:paraId="63EB784A" w14:textId="77777777" w:rsidR="007B2DE3" w:rsidRDefault="00115629">
      <w:pPr>
        <w:rPr>
          <w:szCs w:val="20"/>
        </w:rPr>
      </w:pPr>
      <w:r>
        <w:rPr>
          <w:szCs w:val="20"/>
        </w:rPr>
        <w:t>Plan miejscowy nie ma wpływu na uwzględnienie w nim pozostałych wymagań, walorów i potrzeb, które uwzględnia się w planowaniu i zagospodarowaniu przestrzennym zgodnie z art. 1 ust. 2 ww. ustawy.</w:t>
      </w:r>
    </w:p>
    <w:p w14:paraId="5B728F9D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Ustalając przeznaczenie terenu, a także określając sposób zagospodarowania i korzystania</w:t>
      </w:r>
      <w:r>
        <w:rPr>
          <w:color w:val="000000"/>
          <w:szCs w:val="20"/>
          <w:u w:color="000000"/>
        </w:rPr>
        <w:br/>
        <w:t>z terenu, organ ważył interes publiczny i interesy prywatne, zmierzające do ochrony istniejącego stanu zagospodarowania terenu, jak i zmian w zakresie jego zagospodarowania, a także analizy ekonomiczne, środowiskowe i społeczne.</w:t>
      </w:r>
    </w:p>
    <w:p w14:paraId="54FC66FB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Wyznaczając poszczególne tereny z możliwością sytuowania nowej zabudowy uwzględniono wymagania ładu przestrzennego, efektywnego gospodarowania przestrzenią oraz walory ekonomiczne przestrzeni poprzez ustalenie terenów zabudowy w strefie śródmiejskiej, w obszarze obsługiwanym za pomocą transportu publicznego, oraz ustalenie wskaźników i parametrów zabudowy pozwalających na realizację inwestycji w sposób ekonomicznie uzasadniony.</w:t>
      </w:r>
    </w:p>
    <w:p w14:paraId="72078911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 </w:t>
      </w:r>
      <w:r>
        <w:rPr>
          <w:color w:val="000000"/>
          <w:szCs w:val="20"/>
          <w:u w:val="single" w:color="000000"/>
        </w:rPr>
        <w:t>W projekcie planu nie ustalono</w:t>
      </w:r>
      <w:r>
        <w:rPr>
          <w:color w:val="000000"/>
          <w:szCs w:val="20"/>
          <w:u w:color="000000"/>
        </w:rPr>
        <w:t xml:space="preserve"> szczególnych warunków zagospodarowania oraz ograniczeń w użytkowaniu wynikających z występowania istniejącej sieci ciepłowniczej. Podejmując decyzję Prezydent Miasta zważył interes Miasta, gestora sieci infrastruktury technicznej oraz interesy prywatne właścicieli poszczególnych nieruchomości. Przepis art. 15 ust. 2 pkt 9 ustawy z dnia 27 marca 2003 r. o planowaniu i zagospodarowaniu przestrzennym daje organowi planistycznemu upoważnienie do zawarcia w planie miejscowym postan</w:t>
      </w:r>
      <w:r>
        <w:rPr>
          <w:color w:val="000000"/>
          <w:szCs w:val="20"/>
          <w:u w:color="000000"/>
        </w:rPr>
        <w:t>owień, które mogą w konsekwencji w sposób istotny ograniczać lub nawet pozbawić właściciela lub użytkownika wieczystego możliwości wykonywania konstytucyjnie chronionego prawa własności. Jednakże taka poważna ingerencja w prawo własności musi być uzasadniona i proporcjonalna w stosunku do celów, których osiągnięciu ma służyć. Rezygnacja z ww. ustaleń podyktowana jest brakiem powszechnie obowiązujących przepisów prawnych nakazujących wprowadzenie określonych ograniczeń w zagospodarowaniu terenu. W związku z </w:t>
      </w:r>
      <w:r>
        <w:rPr>
          <w:color w:val="000000"/>
          <w:szCs w:val="20"/>
          <w:u w:color="000000"/>
        </w:rPr>
        <w:t>powyższym, w projekcie planu jako ustalenie obowiązujące wskazano jedynie strefy ochronne od napowietrznych linii elektroenergetycznych.</w:t>
      </w:r>
    </w:p>
    <w:p w14:paraId="262241DF" w14:textId="77777777" w:rsidR="007B2DE3" w:rsidRDefault="00115629">
      <w:pPr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II. Zgodność z wynikami analizy dotyczącej oceny aktualności studium uwarunkowań i kierunków zagospodarowania przestrzennego oraz miejscowych planów zagospodarowania przestrzennego Łodzi.</w:t>
      </w:r>
    </w:p>
    <w:p w14:paraId="0B45C2AF" w14:textId="77777777" w:rsidR="007B2DE3" w:rsidRDefault="00115629">
      <w:pPr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Ocena aktualności Studium uwarunkowań i kierunków zagospodarowania przestrzennego oraz miejscowych planów zagospodarowania przestrzennego miasta Łodzi przyjęta uchwałą Nr LXXXVIII/2684/24 Rady Miejskiej w Łodzi z dnia 13 marca 2024 r. w sprawie aktualności Studium uwarunkowań i kierunków zagospodarowania przestrzennego oraz miejscowych planów zagospodarowania przestrzennego miasta Łodzi, wskazuje na potrzebę całościowej aktualizacji ustaleń Studium, która ma zostać dokonana w trakcie procedury planu ogólneg</w:t>
      </w:r>
      <w:r>
        <w:rPr>
          <w:color w:val="000000"/>
          <w:szCs w:val="20"/>
          <w:u w:color="000000"/>
        </w:rPr>
        <w:t>o. Nie została jednak bezpośrednio wskazana konieczność aktualizacji ustaleń Studium w odniesieniu do obszaru objętego projektem planu, a obowiązujący plan miejscowy został uznany za aktualny. W związku z powyższym projekt planu jest zgodny z wynikami analizy dotyczącej oceny aktualności Studium. Podtrzymane zostają kierunki rozwoju ustalone w Studium.</w:t>
      </w:r>
    </w:p>
    <w:p w14:paraId="0E4A6FAC" w14:textId="77777777" w:rsidR="007B2DE3" w:rsidRDefault="007B2DE3">
      <w:pPr>
        <w:rPr>
          <w:color w:val="000000"/>
          <w:szCs w:val="20"/>
          <w:u w:color="000000"/>
        </w:rPr>
      </w:pPr>
    </w:p>
    <w:p w14:paraId="58AAC085" w14:textId="77777777" w:rsidR="007B2DE3" w:rsidRDefault="00115629">
      <w:pPr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 Wpływ na finanse publiczne, w tym budżet gminy.</w:t>
      </w:r>
    </w:p>
    <w:p w14:paraId="29A8A082" w14:textId="77777777" w:rsidR="007B2DE3" w:rsidRDefault="00115629">
      <w:pPr>
        <w:rPr>
          <w:szCs w:val="20"/>
        </w:rPr>
      </w:pPr>
      <w:r>
        <w:rPr>
          <w:szCs w:val="20"/>
        </w:rPr>
        <w:t xml:space="preserve">Analiza wpływu ustaleń projektu miejscowego planu zagospodarowania przestrzennego na finanse publiczne, w tym na budżet gminy określa potencjalne dochody i wydatki z tytułu uchwalenia planu miejscowego. Wykonane obliczenia wykazały dodatni wynik finansowy, ponieważ plan miejscowy </w:t>
      </w:r>
      <w:r>
        <w:rPr>
          <w:szCs w:val="20"/>
        </w:rPr>
        <w:lastRenderedPageBreak/>
        <w:t xml:space="preserve">nie generuje wydatków, jedynie potencjalne dochody. Ponadto uchwalenie planu miejscowego, który w części uchyla obowiązujące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, skutkuje dodatkowo spadkiem wydatków po stronie gminy na nabycie nieruchomości oraz realizację układu komunikacyjnego w oparciu o plany obowiązujące.</w:t>
      </w:r>
    </w:p>
    <w:p w14:paraId="45226E2C" w14:textId="77777777" w:rsidR="007B2DE3" w:rsidRDefault="00115629">
      <w:pPr>
        <w:rPr>
          <w:szCs w:val="20"/>
        </w:rPr>
      </w:pPr>
      <w:r>
        <w:rPr>
          <w:szCs w:val="20"/>
        </w:rPr>
        <w:t xml:space="preserve">Należy pamiętać, że oszacowany poziom wyniku finansowego może odbiegać od rzeczywistych przyszłych rezultatów z uwagi na </w:t>
      </w:r>
      <w:r>
        <w:rPr>
          <w:szCs w:val="20"/>
        </w:rPr>
        <w:t xml:space="preserve">nieprzewidywalność </w:t>
      </w:r>
      <w:proofErr w:type="spellStart"/>
      <w:r>
        <w:rPr>
          <w:szCs w:val="20"/>
        </w:rPr>
        <w:t>zachowań</w:t>
      </w:r>
      <w:proofErr w:type="spellEnd"/>
      <w:r>
        <w:rPr>
          <w:szCs w:val="20"/>
        </w:rPr>
        <w:t xml:space="preserve"> inwestorów, poziom cen rynkowych oraz zmienność uwarunkowań w czasie. Opracowana analiza pokazuje jedynie skalę pewnych zjawisk, które mogą wystąpić w konsekwencji uchwalenia planu.</w:t>
      </w:r>
    </w:p>
    <w:sectPr w:rsidR="007B2DE3">
      <w:footerReference w:type="default" r:id="rId28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6D517" w14:textId="77777777" w:rsidR="00115629" w:rsidRDefault="00115629">
      <w:r>
        <w:separator/>
      </w:r>
    </w:p>
  </w:endnote>
  <w:endnote w:type="continuationSeparator" w:id="0">
    <w:p w14:paraId="104D6E45" w14:textId="77777777" w:rsidR="00115629" w:rsidRDefault="0011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15370A3A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9DD850F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2467D04" w14:textId="77777777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B900BA3" w14:textId="77777777" w:rsidR="007B2DE3" w:rsidRDefault="007B2DE3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4A5203DE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7E72D83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AC9C9DE" w14:textId="1A6C7E7B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76B3AA8" w14:textId="77777777" w:rsidR="007B2DE3" w:rsidRDefault="007B2DE3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00E010F4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1BC5F7A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2A78D2E" w14:textId="4F3CF0DA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EF7220E" w14:textId="77777777" w:rsidR="007B2DE3" w:rsidRDefault="007B2DE3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33FA35FA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7387998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C9D9217" w14:textId="6FF0AF90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0F58573" w14:textId="77777777" w:rsidR="007B2DE3" w:rsidRDefault="007B2DE3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7FA21785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6F4363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790ADA" w14:textId="7F8C1561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86D50B7" w14:textId="77777777" w:rsidR="007B2DE3" w:rsidRDefault="007B2DE3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B2DE3" w14:paraId="64DEEAFB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0900CAC" w14:textId="77777777" w:rsidR="007B2DE3" w:rsidRDefault="0011562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143108D" w14:textId="3C1D23FF" w:rsidR="007B2DE3" w:rsidRDefault="0011562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6E97F64" w14:textId="77777777" w:rsidR="007B2DE3" w:rsidRDefault="007B2DE3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23CDC" w14:textId="77777777" w:rsidR="00115629" w:rsidRDefault="00115629">
      <w:r>
        <w:separator/>
      </w:r>
    </w:p>
  </w:footnote>
  <w:footnote w:type="continuationSeparator" w:id="0">
    <w:p w14:paraId="1ABE4730" w14:textId="77777777" w:rsidR="00115629" w:rsidRDefault="00115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439B1"/>
    <w:rsid w:val="00115629"/>
    <w:rsid w:val="007B2DE3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C90909"/>
  <w15:docId w15:val="{33723406-A9EE-43B4-AB52-9A07AF17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B40034E-C1AA-44C4-9FA0-DBE4B8677179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C196FDE1-63D6-4B2E-8736-1E9742E6CECA.jpg" TargetMode="External"/><Relationship Id="rId26" Type="http://schemas.openxmlformats.org/officeDocument/2006/relationships/hyperlink" Target="Zalacznik4.g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649C2D35-C4DB-4953-B356-E6DF2C31552B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EFD885EB-BD4A-41A7-B2E0-C06A2E13C0DD.jpg" TargetMode="External"/><Relationship Id="rId20" Type="http://schemas.openxmlformats.org/officeDocument/2006/relationships/image" Target="ZalacznikD1B329DC-D0DD-475F-B0CC-65D6A397B485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footer" Target="footer6.xml"/><Relationship Id="rId10" Type="http://schemas.openxmlformats.org/officeDocument/2006/relationships/image" Target="Zalacznik54280073-ECCB-4B5D-921B-6610FEE95026.jp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392A0C0E-AF2D-4B85-9A07-56E86575954A.jpg" TargetMode="External"/><Relationship Id="rId22" Type="http://schemas.openxmlformats.org/officeDocument/2006/relationships/image" Target="Zalacznik1D1D1674-46DD-4727-B17B-40457CBB4445.jpg" TargetMode="Externa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5494</Words>
  <Characters>32969</Characters>
  <Application>Microsoft Office Word</Application>
  <DocSecurity>0</DocSecurity>
  <Lines>274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 rejonie ulicy Andrzeja Struga 82/84 i 86.</dc:subject>
  <dc:creator>dstarega</dc:creator>
  <cp:lastModifiedBy>Dorota Staręga</cp:lastModifiedBy>
  <cp:revision>2</cp:revision>
  <dcterms:created xsi:type="dcterms:W3CDTF">2025-06-11T11:35:00Z</dcterms:created>
  <dcterms:modified xsi:type="dcterms:W3CDTF">2025-06-11T09:36:00Z</dcterms:modified>
  <cp:category>Akt prawny</cp:category>
</cp:coreProperties>
</file>