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7B3E" w:rsidRDefault="00A77B3E">
      <w:pPr>
        <w:ind w:left="5102"/>
        <w:jc w:val="left"/>
        <w:rPr>
          <w:b/>
          <w:i/>
          <w:u w:val="thick"/>
        </w:rPr>
      </w:pPr>
    </w:p>
    <w:p w:rsidR="00A77B3E" w:rsidRDefault="00A77B3E">
      <w:pPr>
        <w:ind w:left="5102"/>
        <w:jc w:val="left"/>
        <w:rPr>
          <w:b/>
          <w:i/>
          <w:u w:val="thick"/>
        </w:rPr>
      </w:pPr>
    </w:p>
    <w:p w:rsidR="00A77B3E" w:rsidRDefault="00890D6C">
      <w:pPr>
        <w:ind w:left="5102"/>
        <w:jc w:val="left"/>
      </w:pPr>
      <w:r>
        <w:t xml:space="preserve">Druk Nr     </w:t>
      </w:r>
      <w:r w:rsidR="00BF3E5B">
        <w:t>168/2025</w:t>
      </w:r>
      <w:r>
        <w:t xml:space="preserve">               </w:t>
      </w:r>
    </w:p>
    <w:p w:rsidR="00A77B3E" w:rsidRDefault="00890D6C">
      <w:pPr>
        <w:ind w:left="5102"/>
        <w:jc w:val="left"/>
      </w:pPr>
      <w:r>
        <w:t xml:space="preserve">Projekt z dnia  </w:t>
      </w:r>
      <w:r w:rsidR="00BF3E5B">
        <w:t>12.08.2025 r.</w:t>
      </w:r>
    </w:p>
    <w:p w:rsidR="00A77B3E" w:rsidRDefault="00A77B3E">
      <w:pPr>
        <w:ind w:left="5102"/>
        <w:jc w:val="left"/>
      </w:pPr>
    </w:p>
    <w:p w:rsidR="00A77B3E" w:rsidRDefault="00890D6C">
      <w:pPr>
        <w:jc w:val="center"/>
        <w:rPr>
          <w:b/>
          <w:caps/>
        </w:rPr>
      </w:pPr>
      <w:r>
        <w:rPr>
          <w:b/>
          <w:caps/>
        </w:rPr>
        <w:t>Uchwała Nr                     </w:t>
      </w:r>
      <w:r>
        <w:rPr>
          <w:b/>
          <w:caps/>
        </w:rPr>
        <w:br/>
        <w:t>Rady Miejskiej w Łodzi</w:t>
      </w:r>
    </w:p>
    <w:p w:rsidR="00A77B3E" w:rsidRDefault="00890D6C">
      <w:pPr>
        <w:spacing w:before="280" w:after="280"/>
        <w:jc w:val="center"/>
        <w:rPr>
          <w:b/>
          <w:caps/>
        </w:rPr>
      </w:pPr>
      <w:r>
        <w:rPr>
          <w:b/>
        </w:rPr>
        <w:t>z dnia                      2025 r.</w:t>
      </w:r>
    </w:p>
    <w:p w:rsidR="00A77B3E" w:rsidRDefault="00890D6C">
      <w:pPr>
        <w:keepNext/>
        <w:spacing w:after="240"/>
        <w:jc w:val="center"/>
      </w:pPr>
      <w:r>
        <w:rPr>
          <w:b/>
        </w:rPr>
        <w:t xml:space="preserve">w sprawie ustalenia lokalizacji inwestycji mieszkaniowej przy ulicy Nowej 29/31 i inwestycji towarzyszących </w:t>
      </w:r>
      <w:r>
        <w:rPr>
          <w:b/>
        </w:rPr>
        <w:t>w rejonie ulicy Nowej w Łodzi.</w:t>
      </w:r>
    </w:p>
    <w:p w:rsidR="00A77B3E" w:rsidRDefault="00890D6C">
      <w:pPr>
        <w:keepLines/>
        <w:ind w:firstLine="567"/>
      </w:pPr>
      <w:r>
        <w:t>Na podstawie art. 18 ust. 2 pkt 15 ustawy z dnia 8 marca 1990 r. o samorządzie gminnym (Dz. U. z 2024 r. poz. 1465, 1572, 1907 i 1940) oraz art. 7 ust. 4 i art. 8 ust. 1-3 ustawy z dnia 5 lipca 2018 r. o ułatwieniach w przygo</w:t>
      </w:r>
      <w:r>
        <w:t>towaniu i realizacji inwestycji mieszkaniowych oraz inwestycji towarzyszących (Dz. U. z 2024 r. poz. 195 oraz z 2025 r. poz. 527), Rada Miejska w Łodzi</w:t>
      </w:r>
    </w:p>
    <w:p w:rsidR="00A77B3E" w:rsidRDefault="00890D6C">
      <w:pPr>
        <w:spacing w:before="120" w:after="240"/>
        <w:jc w:val="center"/>
        <w:rPr>
          <w:b/>
        </w:rPr>
      </w:pPr>
      <w:r>
        <w:rPr>
          <w:b/>
        </w:rPr>
        <w:t>uchwala, co następuje:</w:t>
      </w:r>
    </w:p>
    <w:p w:rsidR="00A77B3E" w:rsidRDefault="00890D6C">
      <w:pPr>
        <w:keepLines/>
        <w:spacing w:before="240"/>
        <w:ind w:firstLine="567"/>
      </w:pPr>
      <w:r>
        <w:t>§ 1. </w:t>
      </w:r>
      <w:r>
        <w:t>Ustala się na rzecz wnioskodawcy Nowa 29/31 Sp. z o.o. z siedzibą w Łodzi  l</w:t>
      </w:r>
      <w:r>
        <w:t>okalizację inwestycji mieszkaniowej polegającej na budowie budynku mieszkalnego wielorodzinnego wraz z zagospodarowaniem terenu nieruchomości i niezbędnymi urządzeniami budowlanymi z nim związanymi na działkach nr: 268/9, 268/10 i 268/11 w obrębie W-24 prz</w:t>
      </w:r>
      <w:r>
        <w:t>y ulicy Nowej 29/31 w Łodzi i lokalizację inwestycji towarzyszących polegających na przebudowie sieci i instalacji podziemnych, budowie przyłączy na części działki nr 310/19 i działce nr 310/13 w obrębie W-24 w rejonie ulicy Nowej w Łodzi.</w:t>
      </w:r>
    </w:p>
    <w:p w:rsidR="00A77B3E" w:rsidRDefault="00890D6C">
      <w:pPr>
        <w:keepLines/>
        <w:spacing w:before="240"/>
        <w:ind w:firstLine="567"/>
      </w:pPr>
      <w:r>
        <w:t>§ 2. </w:t>
      </w:r>
      <w:r>
        <w:t>Określa się</w:t>
      </w:r>
      <w:r>
        <w:t xml:space="preserve"> granice terenu objętego inwestycją mieszkaniową i inwestycjami towarzyszącymi przedstawione na kopii mapy zasadniczej w skali 1:500, oznaczone przerywaną linią koloru czerwonego i literowo A-B-C-D-E-F-G-H-I-A – zgodnie z załącznikiem Nr 1 do uchwały.</w:t>
      </w:r>
    </w:p>
    <w:p w:rsidR="00A77B3E" w:rsidRDefault="00890D6C">
      <w:pPr>
        <w:keepLines/>
        <w:spacing w:before="240"/>
        <w:ind w:firstLine="567"/>
        <w:rPr>
          <w:color w:val="000000"/>
          <w:u w:color="000000"/>
        </w:rPr>
      </w:pPr>
      <w:r>
        <w:t>§ 3.</w:t>
      </w:r>
      <w:r>
        <w:t> </w:t>
      </w:r>
      <w:r>
        <w:t>Określa się minimalną łączną powierzchnię użytkową mieszkań – 3 800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i maksymalną łączną powierzchnię użytkową mieszkań – 4 900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.</w:t>
      </w:r>
    </w:p>
    <w:p w:rsidR="00A77B3E" w:rsidRDefault="00890D6C">
      <w:pPr>
        <w:keepLines/>
        <w:spacing w:before="240"/>
        <w:ind w:firstLine="567"/>
        <w:rPr>
          <w:color w:val="000000"/>
          <w:u w:color="000000"/>
        </w:rPr>
      </w:pPr>
      <w:r>
        <w:t>§ 4. </w:t>
      </w:r>
      <w:r>
        <w:rPr>
          <w:color w:val="000000"/>
          <w:u w:color="000000"/>
        </w:rPr>
        <w:t>Określa się minimalną liczbę mieszkań – 50 i maksymalną liczbę mieszkań – 112.</w:t>
      </w:r>
    </w:p>
    <w:p w:rsidR="00A77B3E" w:rsidRDefault="00890D6C">
      <w:pPr>
        <w:keepLines/>
        <w:spacing w:before="240"/>
        <w:ind w:firstLine="567"/>
        <w:rPr>
          <w:color w:val="000000"/>
          <w:u w:color="000000"/>
        </w:rPr>
      </w:pPr>
      <w:r>
        <w:t>§ 5. </w:t>
      </w:r>
      <w:r>
        <w:rPr>
          <w:color w:val="000000"/>
          <w:u w:color="000000"/>
        </w:rPr>
        <w:t xml:space="preserve">W ramach inwestycji </w:t>
      </w:r>
      <w:r>
        <w:rPr>
          <w:color w:val="000000"/>
          <w:u w:color="000000"/>
        </w:rPr>
        <w:t>mieszkaniowej nie przewiduje się powierzchni użytkowej przeznaczonej na działalność handlową lub usługową.</w:t>
      </w:r>
    </w:p>
    <w:p w:rsidR="00A77B3E" w:rsidRDefault="00890D6C">
      <w:pPr>
        <w:keepLines/>
        <w:spacing w:before="240"/>
        <w:ind w:firstLine="567"/>
        <w:rPr>
          <w:color w:val="000000"/>
          <w:u w:color="000000"/>
        </w:rPr>
      </w:pPr>
      <w:r>
        <w:t>§ 6. </w:t>
      </w:r>
      <w:r>
        <w:rPr>
          <w:color w:val="000000"/>
          <w:u w:color="000000"/>
        </w:rPr>
        <w:t>Określa się zmiany w dotychczasowym sposobie zagospodarowania i uzbrojeniu terenu polegające na:</w:t>
      </w:r>
    </w:p>
    <w:p w:rsidR="00A77B3E" w:rsidRDefault="00890D6C">
      <w:pPr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rozbiórce budynków o funkcji biurowej zlokal</w:t>
      </w:r>
      <w:r>
        <w:rPr>
          <w:color w:val="000000"/>
          <w:u w:color="000000"/>
        </w:rPr>
        <w:t>izowanych na terenie inwestycji;</w:t>
      </w:r>
    </w:p>
    <w:p w:rsidR="00A77B3E" w:rsidRDefault="00890D6C">
      <w:pPr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budowie wolnostojącego budynku mieszkalnego wielorodzinnego z garażem wielostanowiskowym;</w:t>
      </w:r>
    </w:p>
    <w:p w:rsidR="00A77B3E" w:rsidRDefault="00890D6C">
      <w:pPr>
        <w:ind w:left="340" w:hanging="340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budowie niezbędnego uzbrojenia terenu i zagospodarowania terenu.</w:t>
      </w:r>
    </w:p>
    <w:p w:rsidR="00A77B3E" w:rsidRDefault="00890D6C">
      <w:pPr>
        <w:keepLines/>
        <w:spacing w:before="240"/>
        <w:ind w:firstLine="567"/>
        <w:rPr>
          <w:color w:val="000000"/>
          <w:u w:color="000000"/>
        </w:rPr>
      </w:pPr>
      <w:r>
        <w:t>§ 7. </w:t>
      </w:r>
      <w:r>
        <w:rPr>
          <w:color w:val="000000"/>
          <w:u w:color="000000"/>
        </w:rPr>
        <w:t>Określa się powiązanie inwestycji mieszkaniowej z istniej</w:t>
      </w:r>
      <w:r>
        <w:rPr>
          <w:color w:val="000000"/>
          <w:u w:color="000000"/>
        </w:rPr>
        <w:t>ącym i planowanym uzbrojeniem terenu:</w:t>
      </w:r>
    </w:p>
    <w:p w:rsidR="00A77B3E" w:rsidRDefault="00890D6C">
      <w:pPr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woda z wodociągu miejskiego zlokalizowanego w ulicy Nowej, zgodnie z warunkami technicznymi właściwego gestora sieci;</w:t>
      </w:r>
    </w:p>
    <w:p w:rsidR="00A77B3E" w:rsidRDefault="00890D6C">
      <w:pPr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ścieki do kanalizacji sanitarnej zlokalizowanej w ulicy Nowej, zgodnie z warunkami technicznym</w:t>
      </w:r>
      <w:r>
        <w:rPr>
          <w:color w:val="000000"/>
          <w:u w:color="000000"/>
        </w:rPr>
        <w:t>i właściwego gestora sieci;</w:t>
      </w:r>
    </w:p>
    <w:p w:rsidR="00A77B3E" w:rsidRDefault="00890D6C">
      <w:pPr>
        <w:ind w:left="340" w:hanging="340"/>
        <w:rPr>
          <w:color w:val="000000"/>
          <w:u w:color="000000"/>
        </w:rPr>
      </w:pPr>
      <w:r>
        <w:lastRenderedPageBreak/>
        <w:t>3) </w:t>
      </w:r>
      <w:r>
        <w:rPr>
          <w:color w:val="000000"/>
          <w:u w:color="000000"/>
        </w:rPr>
        <w:t>wody opadowe odprowadzane do miejskiej kanalizacji deszczowej zlokalizowanej w ulicy Nowej, zgodnie z warunkami technicznymi właściwego gestora sieci;</w:t>
      </w:r>
    </w:p>
    <w:p w:rsidR="00A77B3E" w:rsidRDefault="00890D6C">
      <w:pPr>
        <w:ind w:left="340" w:hanging="340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 xml:space="preserve">ciepło z miejskiej sieci ciepła systemowego, zgodnie z warunkami </w:t>
      </w:r>
      <w:r>
        <w:rPr>
          <w:color w:val="000000"/>
          <w:u w:color="000000"/>
        </w:rPr>
        <w:t>technicznymi właściwego gestora sieci;</w:t>
      </w:r>
    </w:p>
    <w:p w:rsidR="00A77B3E" w:rsidRDefault="00890D6C">
      <w:pPr>
        <w:ind w:left="340" w:hanging="340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energia elektryczna z sieci, zgodnie z warunkami technicznymi właściwego gestora sieci.</w:t>
      </w:r>
    </w:p>
    <w:p w:rsidR="00A77B3E" w:rsidRDefault="00890D6C">
      <w:pPr>
        <w:keepLines/>
        <w:spacing w:before="240"/>
        <w:ind w:firstLine="567"/>
        <w:rPr>
          <w:color w:val="000000"/>
          <w:u w:color="000000"/>
        </w:rPr>
      </w:pPr>
      <w:r>
        <w:t>§ 8. </w:t>
      </w:r>
      <w:r>
        <w:rPr>
          <w:color w:val="000000"/>
          <w:u w:color="000000"/>
        </w:rPr>
        <w:t>Charakterystyka inwestycji mieszkaniowej i inwestycji towarzyszących:</w:t>
      </w:r>
    </w:p>
    <w:p w:rsidR="00A77B3E" w:rsidRDefault="00890D6C">
      <w:pPr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określa się zapotrzebowanie na wodę, energię ora</w:t>
      </w:r>
      <w:r>
        <w:rPr>
          <w:color w:val="000000"/>
          <w:u w:color="000000"/>
        </w:rPr>
        <w:t>z sposób odprowadzania lub oczyszczania ścieków, a także inne potrzeby w zakresie uzbrojenia terenu, niezbędną liczbę miejsc postojowych, jak również sposób zagospodarowywania odpadów:</w:t>
      </w:r>
    </w:p>
    <w:p w:rsidR="00A77B3E" w:rsidRDefault="00890D6C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woda z wodociągu miejskiego do celów bytowych – maksymalnie 4,5 dm</w:t>
      </w:r>
      <w:r>
        <w:rPr>
          <w:color w:val="000000"/>
          <w:u w:color="000000"/>
          <w:vertAlign w:val="superscript"/>
        </w:rPr>
        <w:t>3</w:t>
      </w:r>
      <w:r>
        <w:rPr>
          <w:color w:val="000000"/>
          <w:u w:color="000000"/>
        </w:rPr>
        <w:t>/</w:t>
      </w:r>
      <w:r>
        <w:rPr>
          <w:color w:val="000000"/>
          <w:u w:color="000000"/>
        </w:rPr>
        <w:t>s,</w:t>
      </w:r>
    </w:p>
    <w:p w:rsidR="00A77B3E" w:rsidRDefault="00890D6C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ścieki sanitarne do kanalizacji miejskiej  – w ilości równej ilości pobranej wody,</w:t>
      </w:r>
    </w:p>
    <w:p w:rsidR="00A77B3E" w:rsidRDefault="00890D6C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woda z wodociągu miejskiego do celów wewnętrznej ochrony przeciwpożarowej – maksymalnie 2,5 dm</w:t>
      </w:r>
      <w:r>
        <w:rPr>
          <w:color w:val="000000"/>
          <w:u w:color="000000"/>
          <w:vertAlign w:val="superscript"/>
        </w:rPr>
        <w:t>3</w:t>
      </w:r>
      <w:r>
        <w:rPr>
          <w:color w:val="000000"/>
          <w:u w:color="000000"/>
        </w:rPr>
        <w:t>/s,</w:t>
      </w:r>
    </w:p>
    <w:p w:rsidR="00A77B3E" w:rsidRDefault="00890D6C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energia elektryczna z sieci – maksymalnie 300 kW,</w:t>
      </w:r>
    </w:p>
    <w:p w:rsidR="00A77B3E" w:rsidRDefault="00890D6C">
      <w:pPr>
        <w:keepLines/>
        <w:spacing w:before="120" w:after="120"/>
        <w:ind w:left="567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ciepło z </w:t>
      </w:r>
      <w:r>
        <w:rPr>
          <w:color w:val="000000"/>
          <w:u w:color="000000"/>
        </w:rPr>
        <w:t>sieci miejskiej – maksymalnie 810 kW,</w:t>
      </w:r>
    </w:p>
    <w:p w:rsidR="00A77B3E" w:rsidRDefault="00890D6C">
      <w:pPr>
        <w:keepLines/>
        <w:spacing w:before="120" w:after="120"/>
        <w:ind w:left="567" w:hanging="227"/>
        <w:rPr>
          <w:color w:val="000000"/>
          <w:u w:color="000000"/>
        </w:rPr>
      </w:pPr>
      <w:r>
        <w:t>f) </w:t>
      </w:r>
      <w:r>
        <w:rPr>
          <w:color w:val="000000"/>
          <w:u w:color="000000"/>
        </w:rPr>
        <w:t>wody opadowe w ilości ograniczonej do 1,0 dm</w:t>
      </w:r>
      <w:r>
        <w:rPr>
          <w:color w:val="000000"/>
          <w:u w:color="000000"/>
          <w:vertAlign w:val="superscript"/>
        </w:rPr>
        <w:t>3</w:t>
      </w:r>
      <w:r>
        <w:rPr>
          <w:color w:val="000000"/>
          <w:u w:color="000000"/>
        </w:rPr>
        <w:t>/s odprowadzane do kanału ogólnospławnego w ulicy Nowej, a pozostała ilość wód opadowych retencjonowana na terenie posesji i odprowadzana do kanalizacji miejskiej w dłużs</w:t>
      </w:r>
      <w:r>
        <w:rPr>
          <w:color w:val="000000"/>
          <w:u w:color="000000"/>
        </w:rPr>
        <w:t>zym czasie lub zagospodarowywana na terenie posesji,</w:t>
      </w:r>
    </w:p>
    <w:p w:rsidR="00A77B3E" w:rsidRDefault="00890D6C">
      <w:pPr>
        <w:keepLines/>
        <w:spacing w:before="120" w:after="120"/>
        <w:ind w:left="567" w:hanging="227"/>
        <w:rPr>
          <w:color w:val="000000"/>
          <w:u w:color="000000"/>
        </w:rPr>
      </w:pPr>
      <w:r>
        <w:t>g) </w:t>
      </w:r>
      <w:r>
        <w:rPr>
          <w:color w:val="000000"/>
          <w:u w:color="000000"/>
        </w:rPr>
        <w:t xml:space="preserve">minimalna liczba miejsc postojowych, powinna być zgodna z art. 17 ust. 4d pkt 2 ustawy z dnia 5 lipca 2018 r. o ułatwieniach w przygotowaniu i realizacji inwestycji mieszkaniowych oraz inwestycji </w:t>
      </w:r>
      <w:r>
        <w:rPr>
          <w:color w:val="000000"/>
          <w:u w:color="000000"/>
        </w:rPr>
        <w:t>towarzyszących – w zakresie obsługi mieszkań,</w:t>
      </w:r>
    </w:p>
    <w:p w:rsidR="00A77B3E" w:rsidRDefault="00890D6C">
      <w:pPr>
        <w:keepLines/>
        <w:spacing w:before="120" w:after="120"/>
        <w:ind w:left="567" w:hanging="227"/>
        <w:rPr>
          <w:color w:val="000000"/>
          <w:u w:color="000000"/>
        </w:rPr>
      </w:pPr>
      <w:r>
        <w:t>h) </w:t>
      </w:r>
      <w:r>
        <w:rPr>
          <w:color w:val="000000"/>
          <w:u w:color="000000"/>
        </w:rPr>
        <w:t>odpady komunalne będą segregowane i wywożone zgodnie z Regulaminem utrzymania czystości i porządku na terenie Miasta Łodzi;</w:t>
      </w:r>
    </w:p>
    <w:p w:rsidR="00A77B3E" w:rsidRDefault="00890D6C">
      <w:pPr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określa się planowany sposób zagospodarowania terenu oraz charakterystykę zabudo</w:t>
      </w:r>
      <w:r>
        <w:rPr>
          <w:color w:val="000000"/>
          <w:u w:color="000000"/>
        </w:rPr>
        <w:t>wy i zagospodarowania terenu, w tym przeznaczenie projektowanych obiektów budowlanych, przedstawione w formie opisowej i graficznej:</w:t>
      </w:r>
    </w:p>
    <w:p w:rsidR="00A77B3E" w:rsidRDefault="00890D6C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sposób zagospodarowania terenu:</w:t>
      </w:r>
    </w:p>
    <w:p w:rsidR="00A77B3E" w:rsidRDefault="00890D6C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inwestycja obejmuje budowę budynku mieszkalnego wielorodzinnego z garażem wielostanowi</w:t>
      </w:r>
      <w:r>
        <w:rPr>
          <w:color w:val="000000"/>
          <w:u w:color="000000"/>
        </w:rPr>
        <w:t>skowym usytuowanego w odległości około 10 m +/- 20% od granicy działki drogowej ulicy Nowej,</w:t>
      </w:r>
    </w:p>
    <w:p w:rsidR="00A77B3E" w:rsidRDefault="00890D6C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zagospodarowanie terenu inwestycji obejmuje m.in.: ciągi piesze, drogi wewnętrzne, elementy zieleni i uzbrojenie terenu,</w:t>
      </w:r>
    </w:p>
    <w:p w:rsidR="00A77B3E" w:rsidRDefault="00890D6C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dostęp do drogi publicznej – ulicy Now</w:t>
      </w:r>
      <w:r>
        <w:rPr>
          <w:color w:val="000000"/>
          <w:u w:color="000000"/>
        </w:rPr>
        <w:t>ej przez dwa istniejące zjazdy,</w:t>
      </w:r>
    </w:p>
    <w:p w:rsidR="00A77B3E" w:rsidRDefault="00890D6C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planowany sposób zagospodarowania terenu określa załącznik Nr 2 do uchwały,</w:t>
      </w:r>
    </w:p>
    <w:p w:rsidR="00A77B3E" w:rsidRDefault="00890D6C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charakterystyka i przeznaczenie zabudowy: zabudowa mieszkaniowa wielorodzinna z garażem;</w:t>
      </w:r>
    </w:p>
    <w:p w:rsidR="00A77B3E" w:rsidRDefault="00890D6C">
      <w:pPr>
        <w:ind w:left="340" w:hanging="340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 xml:space="preserve">określa się charakterystyczne parametry techniczne </w:t>
      </w:r>
      <w:r>
        <w:rPr>
          <w:color w:val="000000"/>
          <w:u w:color="000000"/>
        </w:rPr>
        <w:t>inwestycji mieszkaniowej oraz dane charakteryzujące jej wpływ na środowisko (w myśl ustawy z dnia 3 października 2008 r. o udostępnianiu informacji o środowisku i jego ochronie, udziale społeczeństwa w ochronie środowiska oraz o ocenach oddziaływania na śr</w:t>
      </w:r>
      <w:r>
        <w:rPr>
          <w:color w:val="000000"/>
          <w:u w:color="000000"/>
        </w:rPr>
        <w:t>odowisko, Dz. U. z 2024 r. poz. 1112, 1881 i 1940):</w:t>
      </w:r>
    </w:p>
    <w:p w:rsidR="00A77B3E" w:rsidRDefault="00890D6C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charakterystyczne parametry techniczne:</w:t>
      </w:r>
    </w:p>
    <w:p w:rsidR="00A77B3E" w:rsidRDefault="00890D6C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powierzchnia zabudowy (nadziemnej) – maksymalnie 1485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:rsidR="00A77B3E" w:rsidRDefault="00890D6C">
      <w:pPr>
        <w:keepLines/>
        <w:spacing w:before="120" w:after="120"/>
        <w:ind w:left="794" w:hanging="113"/>
        <w:rPr>
          <w:color w:val="000000"/>
          <w:u w:color="000000"/>
        </w:rPr>
      </w:pPr>
      <w:r>
        <w:lastRenderedPageBreak/>
        <w:t>- </w:t>
      </w:r>
      <w:r>
        <w:rPr>
          <w:color w:val="000000"/>
          <w:u w:color="000000"/>
        </w:rPr>
        <w:t>północno-zachodnia i fragment południowo-zachodniej ściany garażu podziemnego oddalone od odpowiedn</w:t>
      </w:r>
      <w:r>
        <w:rPr>
          <w:color w:val="000000"/>
          <w:u w:color="000000"/>
        </w:rPr>
        <w:t>ich granic działek o odległość umożliwiającą zachowanie większości istniejących drzew w narożniku północno-zachodnim i południowo-zachodnim terenu inwestycji, o maksymalnym obrysie kondygnacji podziemnej projektowanego budynku oznaczonym na załączniku Nr 2</w:t>
      </w:r>
      <w:r>
        <w:rPr>
          <w:color w:val="000000"/>
          <w:u w:color="000000"/>
        </w:rPr>
        <w:t> do uchwały,</w:t>
      </w:r>
    </w:p>
    <w:p w:rsidR="00A77B3E" w:rsidRDefault="00890D6C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wysokość zabudowy – w części południowej budynku – do 29 m, w pozostałej – do 35 m,</w:t>
      </w:r>
    </w:p>
    <w:p w:rsidR="00A77B3E" w:rsidRDefault="00890D6C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 xml:space="preserve">ilość kondygnacji nadziemnych – w części północno-wschodniej projektowanego budynku – do XI, w pozostałej – do IX, zgodnie z oznaczeniem na załączniku </w:t>
      </w:r>
      <w:r>
        <w:rPr>
          <w:color w:val="000000"/>
          <w:u w:color="000000"/>
        </w:rPr>
        <w:t>Nr 2 do uchwały,</w:t>
      </w:r>
    </w:p>
    <w:p w:rsidR="00A77B3E" w:rsidRDefault="00890D6C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ilość kondygnacji podziemnych – maksymalnie 2,</w:t>
      </w:r>
    </w:p>
    <w:p w:rsidR="00A77B3E" w:rsidRDefault="00890D6C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kształt dachu i kąt nachylenia połaci dachowych – dach płaski,</w:t>
      </w:r>
    </w:p>
    <w:p w:rsidR="00A77B3E" w:rsidRDefault="00890D6C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powierzchnia biologicznie czynna – minimum 12,5% terenu inwestycji mieszkaniowej, w tym na dachach i tarasach,</w:t>
      </w:r>
    </w:p>
    <w:p w:rsidR="00A77B3E" w:rsidRDefault="00890D6C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zgodnie z</w:t>
      </w:r>
      <w:r>
        <w:rPr>
          <w:color w:val="000000"/>
          <w:u w:color="000000"/>
        </w:rPr>
        <w:t> rozporządzeniem Rady Ministrów z dnia 10 września 2019 r. w sprawie przedsięwzięć mogących znacząco oddziaływać na środowisko (Dz. U. poz. 1839, z 2022 r. poz. 1071 oraz z 2023 r. poz. 1724) projektowana inwestycja nie jest zaliczona do inwestycji mogącyc</w:t>
      </w:r>
      <w:r>
        <w:rPr>
          <w:color w:val="000000"/>
          <w:u w:color="000000"/>
        </w:rPr>
        <w:t xml:space="preserve">h potencjalnie lub zawsze znacząco oddziaływać na środowisko; planowana powierzchnia zabudowy mieszkaniowej wraz z powierzchnią terenu towarzyszącej infrastruktury nie przekroczy 2 ha, o których mowa w § 3 ust. 1 pkt 55 lit. b tiret drugie rozporządzenia, </w:t>
      </w:r>
      <w:r>
        <w:rPr>
          <w:color w:val="000000"/>
          <w:u w:color="000000"/>
        </w:rPr>
        <w:t>jak również powierzchnia użytkowa projektowanego garażu nie przekroczy 1 ha, o którym mowa w § 3 ust. 1 pkt 58 lit. b rozporządzenia.</w:t>
      </w:r>
    </w:p>
    <w:p w:rsidR="00A77B3E" w:rsidRDefault="00890D6C">
      <w:pPr>
        <w:keepLines/>
        <w:spacing w:before="240"/>
        <w:ind w:firstLine="567"/>
        <w:rPr>
          <w:color w:val="000000"/>
          <w:u w:color="000000"/>
        </w:rPr>
      </w:pPr>
      <w:r>
        <w:t>§ 9. </w:t>
      </w:r>
      <w:r>
        <w:rPr>
          <w:color w:val="000000"/>
          <w:u w:color="000000"/>
        </w:rPr>
        <w:t>Obiekty objęte inwestycją mieszkaniową i inwestycjami towarzyszącymi będą zlokalizowane na następujących nieruchomośc</w:t>
      </w:r>
      <w:r>
        <w:rPr>
          <w:color w:val="000000"/>
          <w:u w:color="000000"/>
        </w:rPr>
        <w:t>iach lub ich częściach, wskazanych według katastru nieruchomości oraz księgi wieczystej:</w:t>
      </w:r>
    </w:p>
    <w:p w:rsidR="00A77B3E" w:rsidRDefault="00890D6C">
      <w:pPr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dla inwestycji mieszkaniowej na:</w:t>
      </w:r>
    </w:p>
    <w:p w:rsidR="00A77B3E" w:rsidRDefault="00890D6C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ab/>
        <w:t>działce nr 268/9, obręb W-24 – KW LD1M/00096657/3,</w:t>
      </w:r>
    </w:p>
    <w:p w:rsidR="00A77B3E" w:rsidRDefault="00890D6C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ab/>
        <w:t>działce nr 268/10, obręb W-24 – KW LD1M/00096656/6,</w:t>
      </w:r>
    </w:p>
    <w:p w:rsidR="00A77B3E" w:rsidRDefault="00890D6C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ab/>
        <w:t xml:space="preserve">działce nr </w:t>
      </w:r>
      <w:r>
        <w:rPr>
          <w:color w:val="000000"/>
          <w:u w:color="000000"/>
        </w:rPr>
        <w:t>268/11, obręb W-24 – KW LD1M/00039245/5;</w:t>
      </w:r>
    </w:p>
    <w:p w:rsidR="00A77B3E" w:rsidRDefault="00890D6C">
      <w:pPr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dla inwestycji towarzyszących na:</w:t>
      </w:r>
    </w:p>
    <w:p w:rsidR="00A77B3E" w:rsidRDefault="00890D6C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ab/>
        <w:t>części działki nr 310/19, obręb W-24 – KW LD1M/00179713/0,</w:t>
      </w:r>
    </w:p>
    <w:p w:rsidR="00A77B3E" w:rsidRDefault="00890D6C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ab/>
        <w:t>działce nr 310/13, obręb W-24 – KW LD1M/00039252/7.</w:t>
      </w:r>
    </w:p>
    <w:p w:rsidR="00A77B3E" w:rsidRDefault="00890D6C">
      <w:pPr>
        <w:keepLines/>
        <w:spacing w:before="240"/>
        <w:ind w:firstLine="567"/>
        <w:rPr>
          <w:color w:val="000000"/>
          <w:u w:color="000000"/>
        </w:rPr>
      </w:pPr>
      <w:r>
        <w:t>§ 10. </w:t>
      </w:r>
      <w:r>
        <w:rPr>
          <w:color w:val="000000"/>
          <w:u w:color="000000"/>
        </w:rPr>
        <w:t>Nie wskazuje się nieruchomości według katastru nieruc</w:t>
      </w:r>
      <w:r>
        <w:rPr>
          <w:color w:val="000000"/>
          <w:u w:color="000000"/>
        </w:rPr>
        <w:t>homości oraz księgi wieczystej, w stosunku do których decyzja o pozwoleniu na budowę inwestycji mieszkaniowej i inwestycji towarzyszących ma wywołać skutek, o którym mowa w art. 35 ust. 1 ustawy z dnia 5 lipca 2018 r. o ułatwieniach w przygotowaniu i reali</w:t>
      </w:r>
      <w:r>
        <w:rPr>
          <w:color w:val="000000"/>
          <w:u w:color="000000"/>
        </w:rPr>
        <w:t>zacji inwestycji mieszkaniowych oraz inwestycji towarzyszących.</w:t>
      </w:r>
    </w:p>
    <w:p w:rsidR="00A77B3E" w:rsidRDefault="00890D6C">
      <w:pPr>
        <w:keepLines/>
        <w:spacing w:before="240"/>
        <w:ind w:firstLine="567"/>
        <w:rPr>
          <w:color w:val="000000"/>
          <w:u w:color="000000"/>
        </w:rPr>
      </w:pPr>
      <w:r>
        <w:t>§ 11. </w:t>
      </w:r>
      <w:r>
        <w:rPr>
          <w:color w:val="000000"/>
          <w:u w:color="000000"/>
        </w:rPr>
        <w:t>Wskazuje się nieruchomość i część nieruchomości według katastru nieruchomości oraz księgi wieczystej, o których mowa w art. 38 ust. 1 ustawy z dnia 5 lipca 2018 r. o ułatwieniach w przyg</w:t>
      </w:r>
      <w:r>
        <w:rPr>
          <w:color w:val="000000"/>
          <w:u w:color="000000"/>
        </w:rPr>
        <w:t>otowaniu i realizacji inwestycji mieszkaniowych oraz inwestycji towarzyszących:</w:t>
      </w:r>
    </w:p>
    <w:p w:rsidR="00A77B3E" w:rsidRDefault="00890D6C">
      <w:pPr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część działki nr 310/19, obręb W-24 – KW LD1M/00179713/0;</w:t>
      </w:r>
    </w:p>
    <w:p w:rsidR="00A77B3E" w:rsidRDefault="00890D6C">
      <w:pPr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działka nr 310/13, obręb W-24 – KW LD1M/00039252/7.</w:t>
      </w:r>
    </w:p>
    <w:p w:rsidR="00A77B3E" w:rsidRDefault="00890D6C">
      <w:pPr>
        <w:keepLines/>
        <w:spacing w:before="240"/>
        <w:ind w:firstLine="567"/>
        <w:rPr>
          <w:color w:val="000000"/>
          <w:u w:color="000000"/>
        </w:rPr>
      </w:pPr>
      <w:r>
        <w:lastRenderedPageBreak/>
        <w:t>§ 12. </w:t>
      </w:r>
      <w:r>
        <w:rPr>
          <w:color w:val="000000"/>
          <w:u w:color="000000"/>
        </w:rPr>
        <w:t>Określa się warunki wynikające z potrzeb ochrony środo</w:t>
      </w:r>
      <w:r>
        <w:rPr>
          <w:color w:val="000000"/>
          <w:u w:color="000000"/>
        </w:rPr>
        <w:t>wiska i ochrony zabytków:</w:t>
      </w:r>
    </w:p>
    <w:p w:rsidR="00A77B3E" w:rsidRDefault="00890D6C">
      <w:pPr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realizacja planowanej inwestycji powinna być zgodna z wymogami ochrony środowiska zawartymi w obowiązujących przepisach i normach, w tym ustawie z dnia 27 kwietnia 2001 r. – Prawo ochrony środowiska (Dz. U. z 2025 r. poz. 647);</w:t>
      </w:r>
    </w:p>
    <w:p w:rsidR="00A77B3E" w:rsidRDefault="00890D6C">
      <w:pPr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inwestycja znajduje się na obszarze zabytkowego układu urbanistycznego „Nowa Dzielnica 1843”, objętego ochroną konserwatorską poprzez ujęcie w gminnej ewidencji zabytków miasta Łodzi i jej realizacja powinna być zgodna z wymogami ustawy z dnia 23 lipca</w:t>
      </w:r>
      <w:r>
        <w:rPr>
          <w:color w:val="000000"/>
          <w:u w:color="000000"/>
        </w:rPr>
        <w:t xml:space="preserve"> 2003 r. o ochronie zabytków i opiece nad zabytkami (Dz. U. z 2024 r. poz. 1292 i 1907).</w:t>
      </w:r>
    </w:p>
    <w:p w:rsidR="00A77B3E" w:rsidRDefault="00890D6C">
      <w:pPr>
        <w:keepLines/>
        <w:spacing w:before="240"/>
        <w:ind w:firstLine="567"/>
        <w:rPr>
          <w:color w:val="000000"/>
          <w:u w:color="000000"/>
        </w:rPr>
      </w:pPr>
      <w:r>
        <w:t>§ 13. </w:t>
      </w:r>
      <w:r>
        <w:rPr>
          <w:color w:val="000000"/>
          <w:u w:color="000000"/>
        </w:rPr>
        <w:t>Niniejsza uchwała nie rodzi praw do terenu oraz nie narusza prawa własności i uprawnień osób trzecich.</w:t>
      </w:r>
    </w:p>
    <w:p w:rsidR="00A77B3E" w:rsidRDefault="00890D6C">
      <w:pPr>
        <w:keepLines/>
        <w:spacing w:before="240"/>
        <w:ind w:firstLine="567"/>
        <w:rPr>
          <w:color w:val="000000"/>
          <w:u w:color="000000"/>
        </w:rPr>
      </w:pPr>
      <w:r>
        <w:t>§ 14. </w:t>
      </w:r>
      <w:r>
        <w:rPr>
          <w:color w:val="000000"/>
          <w:u w:color="000000"/>
        </w:rPr>
        <w:t>Wykonanie uchwały powierza się Prezydentowi Miasta Ł</w:t>
      </w:r>
      <w:r>
        <w:rPr>
          <w:color w:val="000000"/>
          <w:u w:color="000000"/>
        </w:rPr>
        <w:t>odzi.</w:t>
      </w:r>
    </w:p>
    <w:p w:rsidR="00A77B3E" w:rsidRDefault="00890D6C">
      <w:pPr>
        <w:keepLines/>
        <w:spacing w:before="240"/>
        <w:ind w:firstLine="567"/>
        <w:rPr>
          <w:color w:val="000000"/>
          <w:u w:color="000000"/>
        </w:rPr>
      </w:pPr>
      <w:r>
        <w:t>§ 15. </w:t>
      </w:r>
      <w:r>
        <w:rPr>
          <w:color w:val="000000"/>
          <w:u w:color="000000"/>
        </w:rPr>
        <w:t>Uchwała podlega publikacji w Dzienniku Urzędowym Województwa Łódzkiego.</w:t>
      </w:r>
    </w:p>
    <w:p w:rsidR="00A77B3E" w:rsidRDefault="00890D6C">
      <w:pPr>
        <w:keepNext/>
        <w:keepLines/>
        <w:spacing w:before="240"/>
        <w:ind w:firstLine="567"/>
        <w:rPr>
          <w:color w:val="000000"/>
          <w:u w:color="000000"/>
        </w:rPr>
      </w:pPr>
      <w:r>
        <w:t>§ 16. </w:t>
      </w:r>
      <w:r>
        <w:rPr>
          <w:color w:val="000000"/>
          <w:u w:color="000000"/>
        </w:rPr>
        <w:t>Uchwała wchodzi w życie z dniem podjęcia.</w:t>
      </w:r>
    </w:p>
    <w:p w:rsidR="00A77B3E" w:rsidRDefault="00A77B3E">
      <w:pPr>
        <w:keepNext/>
        <w:keepLines/>
        <w:spacing w:before="240"/>
        <w:ind w:firstLine="567"/>
        <w:rPr>
          <w:color w:val="000000"/>
          <w:u w:color="000000"/>
        </w:rPr>
      </w:pPr>
    </w:p>
    <w:p w:rsidR="00A77B3E" w:rsidRDefault="00890D6C">
      <w:pPr>
        <w:keepNext/>
        <w:rPr>
          <w:color w:val="000000"/>
          <w:u w:color="000000"/>
        </w:rPr>
      </w:pPr>
      <w:r>
        <w:rPr>
          <w:color w:val="000000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05"/>
        <w:gridCol w:w="4767"/>
      </w:tblGrid>
      <w:tr w:rsidR="003C1EF4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C1EF4" w:rsidRDefault="003C1EF4">
            <w:pPr>
              <w:keepNext/>
              <w:keepLines/>
              <w:jc w:val="left"/>
              <w:rPr>
                <w:color w:val="00000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C1EF4" w:rsidRDefault="00890D6C">
            <w:pPr>
              <w:keepNext/>
              <w:keepLines/>
              <w:spacing w:before="100" w:after="100"/>
              <w:ind w:left="1020" w:right="1020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Przewodniczący</w:t>
            </w:r>
            <w:r>
              <w:rPr>
                <w:b/>
                <w:color w:val="000000"/>
              </w:rPr>
              <w:br/>
              <w:t>Rady Miejskiej w Łodzi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b/>
              </w:rPr>
              <w:t>Bartosz DOMASZEWICZ</w:t>
            </w:r>
          </w:p>
        </w:tc>
      </w:tr>
    </w:tbl>
    <w:p w:rsidR="00A77B3E" w:rsidRDefault="00890D6C">
      <w:pPr>
        <w:keepLines/>
        <w:rPr>
          <w:color w:val="000000"/>
          <w:u w:color="000000"/>
        </w:rPr>
      </w:pPr>
      <w:r>
        <w:rPr>
          <w:color w:val="000000"/>
          <w:u w:color="000000"/>
        </w:rPr>
        <w:t>Projektodawcą jest</w:t>
      </w:r>
    </w:p>
    <w:p w:rsidR="00A77B3E" w:rsidRDefault="00890D6C" w:rsidP="00BF3E5B">
      <w:pPr>
        <w:keepLines/>
        <w:jc w:val="left"/>
        <w:rPr>
          <w:color w:val="000000"/>
          <w:u w:color="000000"/>
        </w:rPr>
        <w:sectPr w:rsidR="00A77B3E">
          <w:footerReference w:type="default" r:id="rId6"/>
          <w:endnotePr>
            <w:numFmt w:val="decimal"/>
          </w:endnotePr>
          <w:pgSz w:w="11906" w:h="16838"/>
          <w:pgMar w:top="567" w:right="1417" w:bottom="567" w:left="1417" w:header="708" w:footer="708" w:gutter="0"/>
          <w:cols w:space="708"/>
          <w:docGrid w:linePitch="360"/>
        </w:sectPr>
      </w:pPr>
      <w:r>
        <w:rPr>
          <w:color w:val="000000"/>
          <w:u w:color="000000"/>
        </w:rPr>
        <w:t>Prezydent</w:t>
      </w:r>
      <w:bookmarkStart w:id="0" w:name="_GoBack"/>
      <w:bookmarkEnd w:id="0"/>
      <w:r>
        <w:rPr>
          <w:color w:val="000000"/>
          <w:u w:color="000000"/>
        </w:rPr>
        <w:t xml:space="preserve"> Miasta Łodzi</w:t>
      </w:r>
    </w:p>
    <w:p w:rsidR="00A77B3E" w:rsidRDefault="00890D6C">
      <w:pPr>
        <w:keepNext/>
        <w:ind w:left="5945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1</w:t>
      </w:r>
      <w:r>
        <w:rPr>
          <w:color w:val="000000"/>
          <w:u w:color="000000"/>
        </w:rPr>
        <w:br/>
        <w:t>do uchwały Nr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                   2025 r.</w:t>
      </w:r>
    </w:p>
    <w:p w:rsidR="00A77B3E" w:rsidRDefault="00890D6C">
      <w:pPr>
        <w:keepNext/>
        <w:spacing w:after="240"/>
        <w:jc w:val="center"/>
        <w:rPr>
          <w:b/>
          <w:color w:val="000000"/>
          <w:u w:color="000000"/>
        </w:rPr>
      </w:pPr>
      <w:r>
        <w:rPr>
          <w:b/>
          <w:color w:val="000000"/>
          <w:u w:color="000000"/>
        </w:rPr>
        <w:t xml:space="preserve">Granice terenu objętego inwestycją </w:t>
      </w:r>
      <w:r>
        <w:rPr>
          <w:b/>
          <w:color w:val="000000"/>
          <w:u w:color="000000"/>
        </w:rPr>
        <w:t>mieszkaniową i inwestycjami towarzyszącymi.</w:t>
      </w:r>
      <w:r>
        <w:rPr>
          <w:b/>
          <w:noProof/>
          <w:color w:val="000000"/>
          <w:u w:color="000000"/>
          <w:lang w:bidi="ar-SA"/>
        </w:rPr>
        <w:drawing>
          <wp:inline distT="0" distB="0" distL="0" distR="0">
            <wp:extent cx="5756744" cy="4063024"/>
            <wp:effectExtent l="0" t="0" r="0" b="0"/>
            <wp:docPr id="100001" name="Obraz 100001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6744" cy="406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890D6C">
      <w:pPr>
        <w:keepLines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>
            <wp:extent cx="5763509" cy="8145124"/>
            <wp:effectExtent l="0" t="0" r="0" b="0"/>
            <wp:docPr id="100003" name="Obraz 100003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3509" cy="8145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890D6C">
      <w:pPr>
        <w:keepLines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>
            <wp:extent cx="5763509" cy="8145124"/>
            <wp:effectExtent l="0" t="0" r="0" b="0"/>
            <wp:docPr id="100005" name="Obraz 100005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3509" cy="8145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A77B3E">
      <w:pPr>
        <w:keepLines/>
        <w:jc w:val="center"/>
        <w:rPr>
          <w:color w:val="000000"/>
          <w:u w:color="000000"/>
        </w:rPr>
        <w:sectPr w:rsidR="00A77B3E">
          <w:footerReference w:type="default" r:id="rId13"/>
          <w:endnotePr>
            <w:numFmt w:val="decimal"/>
          </w:endnotePr>
          <w:pgSz w:w="11906" w:h="16838"/>
          <w:pgMar w:top="567" w:right="1417" w:bottom="567" w:left="1417" w:header="708" w:footer="708" w:gutter="0"/>
          <w:pgNumType w:start="1"/>
          <w:cols w:space="708"/>
          <w:docGrid w:linePitch="360"/>
        </w:sectPr>
      </w:pPr>
    </w:p>
    <w:p w:rsidR="00A77B3E" w:rsidRDefault="00890D6C">
      <w:pPr>
        <w:keepNext/>
        <w:ind w:left="5945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2</w:t>
      </w:r>
      <w:r>
        <w:rPr>
          <w:color w:val="000000"/>
          <w:u w:color="000000"/>
        </w:rPr>
        <w:br/>
        <w:t>do uchwały Nr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                   2025 r.</w:t>
      </w:r>
    </w:p>
    <w:p w:rsidR="00A77B3E" w:rsidRDefault="00890D6C">
      <w:pPr>
        <w:keepNext/>
        <w:spacing w:after="240"/>
        <w:jc w:val="center"/>
        <w:rPr>
          <w:b/>
          <w:color w:val="000000"/>
          <w:u w:color="000000"/>
        </w:rPr>
      </w:pPr>
      <w:r>
        <w:rPr>
          <w:b/>
          <w:color w:val="000000"/>
          <w:u w:color="000000"/>
        </w:rPr>
        <w:t>Planowany sposób zagospodarowania terenu.</w:t>
      </w:r>
      <w:r>
        <w:rPr>
          <w:b/>
          <w:noProof/>
          <w:color w:val="000000"/>
          <w:u w:color="000000"/>
          <w:lang w:bidi="ar-SA"/>
        </w:rPr>
        <w:drawing>
          <wp:inline distT="0" distB="0" distL="0" distR="0">
            <wp:extent cx="5760720" cy="4065830"/>
            <wp:effectExtent l="0" t="0" r="0" b="0"/>
            <wp:docPr id="100007" name="Obraz 100007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4"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890D6C">
      <w:pPr>
        <w:keepLines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>
            <wp:extent cx="5763509" cy="8145124"/>
            <wp:effectExtent l="0" t="0" r="0" b="0"/>
            <wp:docPr id="100009" name="Obraz 100009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6" r:link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3509" cy="8145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890D6C">
      <w:pPr>
        <w:keepLines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>
            <wp:extent cx="5763509" cy="8145124"/>
            <wp:effectExtent l="0" t="0" r="0" b="0"/>
            <wp:docPr id="100011" name="Obraz 100011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8" r:link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3509" cy="8145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A77B3E">
      <w:pPr>
        <w:keepLines/>
        <w:jc w:val="center"/>
        <w:rPr>
          <w:color w:val="000000"/>
          <w:u w:color="000000"/>
        </w:rPr>
        <w:sectPr w:rsidR="00A77B3E">
          <w:footerReference w:type="default" r:id="rId20"/>
          <w:endnotePr>
            <w:numFmt w:val="decimal"/>
          </w:endnotePr>
          <w:pgSz w:w="11906" w:h="16838"/>
          <w:pgMar w:top="567" w:right="1417" w:bottom="567" w:left="1417" w:header="708" w:footer="708" w:gutter="0"/>
          <w:pgNumType w:start="1"/>
          <w:cols w:space="708"/>
          <w:docGrid w:linePitch="360"/>
        </w:sectPr>
      </w:pPr>
    </w:p>
    <w:p w:rsidR="003C1EF4" w:rsidRDefault="003C1EF4">
      <w:pPr>
        <w:jc w:val="left"/>
        <w:rPr>
          <w:color w:val="000000"/>
          <w:szCs w:val="20"/>
          <w:shd w:val="clear" w:color="auto" w:fill="FFFFFF"/>
          <w:lang w:val="x-none" w:eastAsia="en-US" w:bidi="ar-SA"/>
        </w:rPr>
      </w:pPr>
    </w:p>
    <w:p w:rsidR="003C1EF4" w:rsidRDefault="00890D6C">
      <w:pPr>
        <w:spacing w:line="360" w:lineRule="auto"/>
        <w:jc w:val="center"/>
        <w:rPr>
          <w:b/>
          <w:caps/>
          <w:color w:val="000000"/>
          <w:szCs w:val="20"/>
          <w:shd w:val="clear" w:color="auto" w:fill="FFFFFF"/>
          <w:lang w:val="x-none" w:eastAsia="en-US" w:bidi="ar-SA"/>
        </w:rPr>
      </w:pPr>
      <w:r>
        <w:rPr>
          <w:b/>
          <w:caps/>
          <w:color w:val="000000"/>
          <w:szCs w:val="20"/>
          <w:shd w:val="clear" w:color="auto" w:fill="FFFFFF"/>
          <w:lang w:val="x-none" w:eastAsia="en-US" w:bidi="ar-SA"/>
        </w:rPr>
        <w:t>uzasadnienie</w:t>
      </w:r>
    </w:p>
    <w:p w:rsidR="003C1EF4" w:rsidRDefault="00890D6C">
      <w:pPr>
        <w:keepLines/>
        <w:spacing w:before="120" w:after="120"/>
        <w:ind w:firstLine="435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 xml:space="preserve">Inwestor Nowa 29/31 Sp. z o.o. z siedzibą w Łodzi pismem z dnia 9 czerwca 2025 r.  wystąpił do Rady Miejskiej w Łodzi, za pośrednictwem Prezydenta Miasta Łodzi - Biura Architekta Miasta w Departamencie Planowania i </w:t>
      </w:r>
      <w:r>
        <w:rPr>
          <w:color w:val="000000"/>
          <w:szCs w:val="20"/>
          <w:shd w:val="clear" w:color="auto" w:fill="FFFFFF"/>
        </w:rPr>
        <w:t>Rozwoju Gospodarczego Urzędu Miasta Łodzi, o ustalenie lokalizacji inwestycji mieszkaniowej polegającej na budowie budynku mieszkalnego wielorodzinnego wraz z zagospodarowaniem terenu nieruchomości i niezbędnymi urządzeniami budowlanymi z nim związanymi na</w:t>
      </w:r>
      <w:r>
        <w:rPr>
          <w:color w:val="000000"/>
          <w:szCs w:val="20"/>
          <w:shd w:val="clear" w:color="auto" w:fill="FFFFFF"/>
        </w:rPr>
        <w:t xml:space="preserve"> działkach nr: 268/9, 268/10 i 268/11 w obrębie W-24 przy ulicy Nowej 29/31 w Łodzi oraz o ustalenie lokalizacji inwestycji towarzyszących polegających na przebudowie sieci i instalacji podziemnych, budowie przyłączy na części działki nr 310/19 i na działc</w:t>
      </w:r>
      <w:r>
        <w:rPr>
          <w:color w:val="000000"/>
          <w:szCs w:val="20"/>
          <w:shd w:val="clear" w:color="auto" w:fill="FFFFFF"/>
        </w:rPr>
        <w:t>e nr 310/13 w obrębie W-24 w rejonie ulicy Nowej</w:t>
      </w:r>
      <w:r>
        <w:rPr>
          <w:b/>
          <w:color w:val="000000"/>
          <w:szCs w:val="20"/>
          <w:shd w:val="clear" w:color="auto" w:fill="FFFFFF"/>
        </w:rPr>
        <w:t xml:space="preserve"> </w:t>
      </w:r>
      <w:r>
        <w:rPr>
          <w:color w:val="000000"/>
          <w:szCs w:val="20"/>
          <w:shd w:val="clear" w:color="auto" w:fill="FFFFFF"/>
        </w:rPr>
        <w:t xml:space="preserve">w Łodzi, na podstawie art. 7 ust. 1 i 6 ustawy z dnia 5 lipca 2018 r. o ułatwieniach w przygotowaniu i realizacji inwestycji mieszkaniowych i inwestycji towarzyszących (Dz. U. z 2024 r. poz. 195 </w:t>
      </w:r>
      <w:r>
        <w:rPr>
          <w:color w:val="000000"/>
          <w:szCs w:val="20"/>
          <w:u w:color="000000"/>
          <w:shd w:val="clear" w:color="auto" w:fill="FFFFFF"/>
        </w:rPr>
        <w:t xml:space="preserve">oraz z 2025 </w:t>
      </w:r>
      <w:r>
        <w:rPr>
          <w:color w:val="000000"/>
          <w:szCs w:val="20"/>
          <w:u w:color="000000"/>
          <w:shd w:val="clear" w:color="auto" w:fill="FFFFFF"/>
        </w:rPr>
        <w:t>r. poz. 527</w:t>
      </w:r>
      <w:r>
        <w:rPr>
          <w:color w:val="000000"/>
          <w:szCs w:val="20"/>
          <w:shd w:val="clear" w:color="auto" w:fill="FFFFFF"/>
        </w:rPr>
        <w:t xml:space="preserve">), zwanej dalej specustawą. </w:t>
      </w:r>
    </w:p>
    <w:p w:rsidR="003C1EF4" w:rsidRDefault="00890D6C">
      <w:pPr>
        <w:keepLines/>
        <w:spacing w:before="120" w:after="120"/>
        <w:ind w:firstLine="435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>W sprawie zastosowanie mają przepisy specustawy w brzmieniu obowiązującym przed 24 września 2023 r. z wyjątkiem art. 2 pkt 3, 7 i 8, art. 7 ust. 7 pkt 7a, art. 17 ust. 4a-4d zgodnie z art. 70 ust. 2 ustawy z dnia 7 l</w:t>
      </w:r>
      <w:r>
        <w:rPr>
          <w:color w:val="000000"/>
          <w:szCs w:val="20"/>
          <w:shd w:val="clear" w:color="auto" w:fill="FFFFFF"/>
        </w:rPr>
        <w:t>ipca 2023 r. o zmianie ustawy o planowaniu i zagospodarowaniu przestrzennym oraz niektórych innych ustaw (Dz. U. poz. 1688, z 2024 r. poz. 1824 oraz z 2025 r. poz. 527).</w:t>
      </w:r>
    </w:p>
    <w:p w:rsidR="003C1EF4" w:rsidRDefault="00890D6C">
      <w:pPr>
        <w:spacing w:before="120" w:after="120"/>
        <w:ind w:firstLine="435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>Po weryfikacji wniosku stwierdzono, ż</w:t>
      </w:r>
      <w:r>
        <w:rPr>
          <w:color w:val="000000"/>
          <w:szCs w:val="20"/>
          <w:shd w:val="clear" w:color="auto" w:fill="FFFFFF"/>
          <w:lang w:val="nl-NL" w:eastAsia="nl-NL" w:bidi="nl-NL"/>
        </w:rPr>
        <w:t>e spe</w:t>
      </w:r>
      <w:r>
        <w:rPr>
          <w:color w:val="000000"/>
          <w:szCs w:val="20"/>
          <w:shd w:val="clear" w:color="auto" w:fill="FFFFFF"/>
        </w:rPr>
        <w:t>łnia on wymogi dotyczące kompletności wniosk</w:t>
      </w:r>
      <w:r>
        <w:rPr>
          <w:color w:val="000000"/>
          <w:szCs w:val="20"/>
          <w:shd w:val="clear" w:color="auto" w:fill="FFFFFF"/>
        </w:rPr>
        <w:t>u okreś</w:t>
      </w:r>
      <w:r>
        <w:rPr>
          <w:color w:val="000000"/>
          <w:szCs w:val="20"/>
          <w:shd w:val="clear" w:color="auto" w:fill="FFFFFF"/>
          <w:lang w:val="x-none" w:eastAsia="en-US" w:bidi="ar-SA"/>
        </w:rPr>
        <w:t>lone w</w:t>
      </w:r>
      <w:r>
        <w:rPr>
          <w:color w:val="000000"/>
          <w:szCs w:val="20"/>
          <w:shd w:val="clear" w:color="auto" w:fill="FFFFFF"/>
        </w:rPr>
        <w:t> art. 7 ust. 7 specustawy. We wniosku określono granice terenu objętego wnioskiem, przedstawiając je na kopii mapy zasadniczej. Określono planowaną minimalną i maksymalną powierzchnię użytkową mieszkań wynoszącą od 3 800 m</w:t>
      </w:r>
      <w:r>
        <w:rPr>
          <w:color w:val="000000"/>
          <w:szCs w:val="20"/>
          <w:shd w:val="clear" w:color="auto" w:fill="FFFFFF"/>
          <w:vertAlign w:val="superscript"/>
        </w:rPr>
        <w:t>2</w:t>
      </w:r>
      <w:r>
        <w:rPr>
          <w:color w:val="000000"/>
          <w:szCs w:val="20"/>
          <w:shd w:val="clear" w:color="auto" w:fill="FFFFFF"/>
        </w:rPr>
        <w:t xml:space="preserve"> do 4 900 m</w:t>
      </w:r>
      <w:r>
        <w:rPr>
          <w:color w:val="000000"/>
          <w:szCs w:val="20"/>
          <w:shd w:val="clear" w:color="auto" w:fill="FFFFFF"/>
          <w:vertAlign w:val="superscript"/>
        </w:rPr>
        <w:t>2</w:t>
      </w:r>
      <w:r>
        <w:rPr>
          <w:color w:val="000000"/>
          <w:szCs w:val="20"/>
          <w:shd w:val="clear" w:color="auto" w:fill="FFFFFF"/>
        </w:rPr>
        <w:t xml:space="preserve"> oraz pl</w:t>
      </w:r>
      <w:r>
        <w:rPr>
          <w:color w:val="000000"/>
          <w:szCs w:val="20"/>
          <w:shd w:val="clear" w:color="auto" w:fill="FFFFFF"/>
        </w:rPr>
        <w:t>anowaną minimalną i maksymalną liczbę mieszkań wynoszącą od 50</w:t>
      </w:r>
      <w:r>
        <w:rPr>
          <w:color w:val="000000"/>
          <w:szCs w:val="20"/>
          <w:shd w:val="clear" w:color="auto" w:fill="FFFFFF"/>
          <w:lang w:val="pt-PT" w:eastAsia="pt-PT" w:bidi="pt-PT"/>
        </w:rPr>
        <w:t xml:space="preserve"> do </w:t>
      </w:r>
      <w:r>
        <w:rPr>
          <w:color w:val="000000"/>
          <w:szCs w:val="20"/>
          <w:shd w:val="clear" w:color="auto" w:fill="FFFFFF"/>
        </w:rPr>
        <w:t>112. Wniosek obejmuje analizę powiązania inwestycji mieszkaniowej z uzbrojeniem terenu, oraz charakterystykę inwestycji mieszkaniowej. Wnioskodawca wskazał nieruchomości, według katastru nie</w:t>
      </w:r>
      <w:r>
        <w:rPr>
          <w:color w:val="000000"/>
          <w:szCs w:val="20"/>
          <w:shd w:val="clear" w:color="auto" w:fill="FFFFFF"/>
        </w:rPr>
        <w:t>ruchomości oraz księgi wieczystej, na których mają być zlokalizowane obiekty objęte inwestycją mieszkaniową i inwestycją towarzyszącą oraz, o których mowa w art. 38 ust. 1 specustawy. Wskazano na sprzeczność ze studium uwarunkowań i kierunków zagospodarowa</w:t>
      </w:r>
      <w:r>
        <w:rPr>
          <w:color w:val="000000"/>
          <w:szCs w:val="20"/>
          <w:shd w:val="clear" w:color="auto" w:fill="FFFFFF"/>
        </w:rPr>
        <w:t>nia przestrzennego miasta Łodzi oraz udokumentowano, że na terenie planowanej inwestycji istnieje budynek biurowy, który umożliwia skorzystanie z wyjątku art. 5 ust. 4 specustawy wskazującego, że warunek niesprzeczności ze studium nie dotyczy terenów, na k</w:t>
      </w:r>
      <w:r>
        <w:rPr>
          <w:color w:val="000000"/>
          <w:szCs w:val="20"/>
          <w:shd w:val="clear" w:color="auto" w:fill="FFFFFF"/>
        </w:rPr>
        <w:t xml:space="preserve">tórych jest zlokalizowany budynek biurowy. </w:t>
      </w:r>
      <w:r>
        <w:rPr>
          <w:color w:val="000000"/>
          <w:szCs w:val="20"/>
          <w:shd w:val="clear" w:color="auto" w:fill="FFFFFF"/>
          <w:lang w:val="de-DE" w:eastAsia="de-DE" w:bidi="de-DE"/>
        </w:rPr>
        <w:t>W</w:t>
      </w:r>
      <w:r>
        <w:rPr>
          <w:color w:val="000000"/>
          <w:szCs w:val="20"/>
          <w:shd w:val="clear" w:color="auto" w:fill="FFFFFF"/>
        </w:rPr>
        <w:t>ykazano, że inwestycja mieszkaniowa odpowiada standardom, o których mowa w rozdziale 3 specustawy oraz lokalnym standardom urbanistycznym. Do wniosku załączono koncepcję urbanistyczno-architektoniczną, sporządzon</w:t>
      </w:r>
      <w:r>
        <w:rPr>
          <w:color w:val="000000"/>
          <w:szCs w:val="20"/>
          <w:shd w:val="clear" w:color="auto" w:fill="FFFFFF"/>
        </w:rPr>
        <w:t>ą przez osobę wpisaną na listę izby samorządu zawodowego architektów posiadającą uprawnienia budowlane do projektowania bez ograniczeń w specjalności architektonicznej oraz inne wymagane oświadczenia i zaświadczenia.</w:t>
      </w:r>
    </w:p>
    <w:p w:rsidR="003C1EF4" w:rsidRDefault="00890D6C">
      <w:pPr>
        <w:keepLines/>
        <w:spacing w:before="120" w:after="120"/>
        <w:ind w:firstLine="34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 xml:space="preserve"> W dniu 11 czerwca 2025 r. wniosek zost</w:t>
      </w:r>
      <w:r>
        <w:rPr>
          <w:color w:val="000000"/>
          <w:szCs w:val="20"/>
          <w:shd w:val="clear" w:color="auto" w:fill="FFFFFF"/>
        </w:rPr>
        <w:t>ał udostępniony na stronie podmiotowej Biuletynu Informacji Publicznej wraz z informacją o formie, miejscu i terminie składania uwag. Ponadto, w dniu 18 czerwca 2025 r. w lokalnej prasie "Łódź.pl" pojawiła się informacja o wpływie przedmiotowego wniosku wr</w:t>
      </w:r>
      <w:r>
        <w:rPr>
          <w:color w:val="000000"/>
          <w:szCs w:val="20"/>
          <w:shd w:val="clear" w:color="auto" w:fill="FFFFFF"/>
        </w:rPr>
        <w:t>az z informacją o formie, miejscu i terminie składania uwag. Do dnia sporządzenia niniejszego uzasadnienia projektu uchwały, żadne wnioski i uwagi nie wpłynęły do Biura Architekta Miasta.</w:t>
      </w:r>
    </w:p>
    <w:p w:rsidR="003C1EF4" w:rsidRDefault="00890D6C">
      <w:pPr>
        <w:keepLines/>
        <w:spacing w:before="120" w:after="120"/>
        <w:ind w:firstLine="34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 xml:space="preserve"> Pismami z dnia 12 czerwca 2025 r. powiadomiono organy opiniują</w:t>
      </w:r>
      <w:r>
        <w:rPr>
          <w:color w:val="000000"/>
          <w:szCs w:val="20"/>
          <w:shd w:val="clear" w:color="auto" w:fill="FFFFFF"/>
          <w:lang w:val="x-none" w:eastAsia="en-US" w:bidi="ar-SA"/>
        </w:rPr>
        <w:t>ce i</w:t>
      </w:r>
      <w:r>
        <w:rPr>
          <w:color w:val="000000"/>
          <w:szCs w:val="20"/>
          <w:shd w:val="clear" w:color="auto" w:fill="FFFFFF"/>
        </w:rPr>
        <w:t> </w:t>
      </w:r>
      <w:r>
        <w:rPr>
          <w:color w:val="000000"/>
          <w:szCs w:val="20"/>
          <w:shd w:val="clear" w:color="auto" w:fill="FFFFFF"/>
        </w:rPr>
        <w:t>uzgadniające, o których mowa w art. 7 ust. 12 i 14 specustawy, o możliwości przedstawienia stanowiska w sprawie w ciągu 21 dni od daty doręczenia wystąpienia.</w:t>
      </w:r>
    </w:p>
    <w:p w:rsidR="003C1EF4" w:rsidRDefault="00890D6C">
      <w:pPr>
        <w:spacing w:before="120" w:after="120"/>
        <w:ind w:left="283" w:firstLine="227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>Następujące organy opiniujące udzieliły odpowiedzi:</w:t>
      </w:r>
    </w:p>
    <w:p w:rsidR="003C1EF4" w:rsidRDefault="00890D6C">
      <w:pPr>
        <w:spacing w:before="120" w:after="120"/>
        <w:ind w:firstLine="510"/>
        <w:rPr>
          <w:color w:val="000000"/>
          <w:szCs w:val="20"/>
          <w:shd w:val="clear" w:color="auto" w:fill="FFFFFF"/>
        </w:rPr>
      </w:pPr>
      <w:r>
        <w:rPr>
          <w:rFonts w:ascii="Times New Roman Greek" w:hAnsi="Times New Roman Greek"/>
          <w:color w:val="000000"/>
          <w:szCs w:val="20"/>
          <w:shd w:val="clear" w:color="auto" w:fill="FFFFFF"/>
        </w:rPr>
        <w:lastRenderedPageBreak/>
        <w:t>― Zarz</w:t>
      </w:r>
      <w:r>
        <w:rPr>
          <w:color w:val="000000"/>
          <w:szCs w:val="20"/>
          <w:shd w:val="clear" w:color="auto" w:fill="FFFFFF"/>
        </w:rPr>
        <w:t xml:space="preserve">ąd Województwa Łódzkiego, w imieniu </w:t>
      </w:r>
      <w:r>
        <w:rPr>
          <w:color w:val="000000"/>
          <w:szCs w:val="20"/>
          <w:shd w:val="clear" w:color="auto" w:fill="FFFFFF"/>
        </w:rPr>
        <w:t>którego działa Dyrektor Biura Planowania Przestrzennego Województwa Łódzkiego w Łodzi - pismo z dnia 27 czerwca 2025 r., znak BPPWŁ.ZP.405.6.2025, informują</w:t>
      </w:r>
      <w:r>
        <w:rPr>
          <w:color w:val="000000"/>
          <w:szCs w:val="20"/>
          <w:shd w:val="clear" w:color="auto" w:fill="FFFFFF"/>
          <w:lang w:val="it-IT" w:eastAsia="it-IT" w:bidi="it-IT"/>
        </w:rPr>
        <w:t>c</w:t>
      </w:r>
      <w:r>
        <w:rPr>
          <w:color w:val="000000"/>
          <w:szCs w:val="20"/>
          <w:shd w:val="clear" w:color="auto" w:fill="FFFFFF"/>
        </w:rPr>
        <w:t>e</w:t>
      </w:r>
      <w:r>
        <w:rPr>
          <w:color w:val="000000"/>
          <w:szCs w:val="20"/>
          <w:shd w:val="clear" w:color="auto" w:fill="FFFFFF"/>
          <w:lang w:val="it-IT" w:eastAsia="it-IT" w:bidi="it-IT"/>
        </w:rPr>
        <w:t xml:space="preserve"> o</w:t>
      </w:r>
      <w:r>
        <w:rPr>
          <w:color w:val="000000"/>
          <w:szCs w:val="20"/>
          <w:shd w:val="clear" w:color="auto" w:fill="FFFFFF"/>
        </w:rPr>
        <w:t> wejściu w życie dnia 1 lipca 2025 r. Uchwały Nr XIII/150/25 Sejmiku Województwa Łódzkiego z dni</w:t>
      </w:r>
      <w:r>
        <w:rPr>
          <w:color w:val="000000"/>
          <w:szCs w:val="20"/>
          <w:shd w:val="clear" w:color="auto" w:fill="FFFFFF"/>
        </w:rPr>
        <w:t>a 15 kwietnia 2025 r. w sprawie uchwalenia audytu krajobrazowego Województwa Łódzkiego oraz objęcia obszaru inwestycji granicami krajobrazu priorytetowego 10-318.19-169 / Łódź - krajobraz wielkomiejski;</w:t>
      </w:r>
    </w:p>
    <w:p w:rsidR="003C1EF4" w:rsidRDefault="00890D6C">
      <w:pPr>
        <w:spacing w:before="120" w:after="120"/>
        <w:ind w:firstLine="510"/>
        <w:rPr>
          <w:color w:val="000000"/>
          <w:szCs w:val="20"/>
          <w:shd w:val="clear" w:color="auto" w:fill="FFFFFF"/>
        </w:rPr>
      </w:pPr>
      <w:r>
        <w:rPr>
          <w:rFonts w:ascii="Times New Roman Greek" w:hAnsi="Times New Roman Greek"/>
          <w:color w:val="000000"/>
          <w:szCs w:val="20"/>
          <w:shd w:val="clear" w:color="auto" w:fill="FFFFFF"/>
        </w:rPr>
        <w:t>― Szef Centralnego Wojskowego Centrum Rekrutacji O</w:t>
      </w:r>
      <w:r>
        <w:rPr>
          <w:color w:val="000000"/>
          <w:szCs w:val="20"/>
          <w:shd w:val="clear" w:color="auto" w:fill="FFFFFF"/>
        </w:rPr>
        <w:t>śro</w:t>
      </w:r>
      <w:r>
        <w:rPr>
          <w:color w:val="000000"/>
          <w:szCs w:val="20"/>
          <w:shd w:val="clear" w:color="auto" w:fill="FFFFFF"/>
        </w:rPr>
        <w:t>dek Zamiejscowy w Łodzi - pismo z dnia 17 czerwca 2025 r., znak: CWCR_OZ_Łódź-WWiZ.0732.328.2025, informujące o braku uwag i wniosków do sprawy;</w:t>
      </w:r>
    </w:p>
    <w:p w:rsidR="003C1EF4" w:rsidRDefault="00890D6C">
      <w:pPr>
        <w:spacing w:before="120" w:after="120"/>
        <w:ind w:firstLine="510"/>
        <w:rPr>
          <w:color w:val="000000"/>
          <w:szCs w:val="20"/>
          <w:shd w:val="clear" w:color="auto" w:fill="FFFFFF"/>
        </w:rPr>
      </w:pPr>
      <w:r>
        <w:rPr>
          <w:rFonts w:ascii="Times New Roman Greek" w:hAnsi="Times New Roman Greek"/>
          <w:color w:val="000000"/>
          <w:szCs w:val="20"/>
          <w:shd w:val="clear" w:color="auto" w:fill="FFFFFF"/>
        </w:rPr>
        <w:t>― Miejska Komisja Urbanistyczno-Architektoniczna - negatywna opinia wyra</w:t>
      </w:r>
      <w:r>
        <w:rPr>
          <w:color w:val="000000"/>
          <w:szCs w:val="20"/>
          <w:shd w:val="clear" w:color="auto" w:fill="FFFFFF"/>
        </w:rPr>
        <w:t xml:space="preserve">żona w uchwale nr 26/XI/2025 z dnia 30 </w:t>
      </w:r>
      <w:r>
        <w:rPr>
          <w:color w:val="000000"/>
          <w:szCs w:val="20"/>
          <w:shd w:val="clear" w:color="auto" w:fill="FFFFFF"/>
        </w:rPr>
        <w:t xml:space="preserve">czerwca 2025 r. w związku z: </w:t>
      </w:r>
    </w:p>
    <w:p w:rsidR="003C1EF4" w:rsidRDefault="00890D6C">
      <w:pPr>
        <w:spacing w:before="120" w:after="120"/>
        <w:ind w:left="855" w:hanging="135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>-</w:t>
      </w:r>
      <w:r>
        <w:rPr>
          <w:color w:val="000000"/>
          <w:szCs w:val="20"/>
          <w:shd w:val="clear" w:color="auto" w:fill="FFFFFF"/>
        </w:rPr>
        <w:tab/>
        <w:t>fundamentalnym zaburzeniem proporcji i kompozycji bryły,</w:t>
      </w:r>
    </w:p>
    <w:p w:rsidR="003C1EF4" w:rsidRDefault="00890D6C">
      <w:pPr>
        <w:spacing w:before="120" w:after="120"/>
        <w:ind w:left="855" w:hanging="135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>-</w:t>
      </w:r>
      <w:r>
        <w:rPr>
          <w:color w:val="000000"/>
          <w:szCs w:val="20"/>
          <w:shd w:val="clear" w:color="auto" w:fill="FFFFFF"/>
        </w:rPr>
        <w:tab/>
        <w:t>niespójnością stylistyczną i degradacją ładu przestrzennego,</w:t>
      </w:r>
    </w:p>
    <w:p w:rsidR="003C1EF4" w:rsidRDefault="00890D6C">
      <w:pPr>
        <w:spacing w:before="120" w:after="120"/>
        <w:ind w:left="855" w:hanging="135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>-</w:t>
      </w:r>
      <w:r>
        <w:rPr>
          <w:color w:val="000000"/>
          <w:szCs w:val="20"/>
          <w:shd w:val="clear" w:color="auto" w:fill="FFFFFF"/>
        </w:rPr>
        <w:tab/>
        <w:t>brakiem poszanowania tożsamości miejsca;</w:t>
      </w:r>
    </w:p>
    <w:p w:rsidR="003C1EF4" w:rsidRDefault="00890D6C">
      <w:pPr>
        <w:spacing w:before="120" w:after="120"/>
        <w:ind w:firstLine="510"/>
        <w:rPr>
          <w:color w:val="000000"/>
          <w:szCs w:val="20"/>
          <w:shd w:val="clear" w:color="auto" w:fill="FFFFFF"/>
        </w:rPr>
      </w:pPr>
      <w:r>
        <w:rPr>
          <w:rFonts w:ascii="Times New Roman Greek" w:hAnsi="Times New Roman Greek"/>
          <w:color w:val="000000"/>
          <w:szCs w:val="20"/>
          <w:shd w:val="clear" w:color="auto" w:fill="FFFFFF"/>
        </w:rPr>
        <w:t xml:space="preserve">― </w:t>
      </w:r>
      <w:r>
        <w:rPr>
          <w:color w:val="000000"/>
          <w:szCs w:val="20"/>
          <w:shd w:val="clear" w:color="auto" w:fill="FFFFFF"/>
        </w:rPr>
        <w:t xml:space="preserve">Łódzki Państwowy Wojewódzki Inspektor Sanitarny - opinia z </w:t>
      </w:r>
      <w:r>
        <w:rPr>
          <w:color w:val="000000"/>
          <w:szCs w:val="20"/>
          <w:shd w:val="clear" w:color="auto" w:fill="FFFFFF"/>
        </w:rPr>
        <w:t xml:space="preserve">30 czerwca 2025 r.,  znak: </w:t>
      </w:r>
      <w:r>
        <w:rPr>
          <w:color w:val="000000"/>
          <w:szCs w:val="20"/>
          <w:shd w:val="clear" w:color="auto" w:fill="FFFFFF"/>
          <w:lang w:val="de-DE" w:eastAsia="de-DE" w:bidi="de-DE"/>
        </w:rPr>
        <w:t>NS</w:t>
      </w:r>
      <w:r>
        <w:rPr>
          <w:color w:val="000000"/>
          <w:szCs w:val="20"/>
          <w:shd w:val="clear" w:color="auto" w:fill="FFFFFF"/>
        </w:rPr>
        <w:t xml:space="preserve"> </w:t>
      </w:r>
      <w:r>
        <w:rPr>
          <w:color w:val="000000"/>
          <w:szCs w:val="20"/>
          <w:shd w:val="clear" w:color="auto" w:fill="FFFFFF"/>
          <w:lang w:val="de-DE" w:eastAsia="de-DE" w:bidi="de-DE"/>
        </w:rPr>
        <w:t>OZNS.9022.</w:t>
      </w:r>
      <w:r>
        <w:rPr>
          <w:color w:val="000000"/>
          <w:szCs w:val="20"/>
          <w:shd w:val="clear" w:color="auto" w:fill="FFFFFF"/>
        </w:rPr>
        <w:t>385</w:t>
      </w:r>
      <w:r>
        <w:rPr>
          <w:color w:val="000000"/>
          <w:szCs w:val="20"/>
          <w:shd w:val="clear" w:color="auto" w:fill="FFFFFF"/>
          <w:lang w:val="de-DE" w:eastAsia="de-DE" w:bidi="de-DE"/>
        </w:rPr>
        <w:t>.202</w:t>
      </w:r>
      <w:r>
        <w:rPr>
          <w:color w:val="000000"/>
          <w:szCs w:val="20"/>
          <w:shd w:val="clear" w:color="auto" w:fill="FFFFFF"/>
        </w:rPr>
        <w:t>5</w:t>
      </w:r>
      <w:r>
        <w:rPr>
          <w:color w:val="000000"/>
          <w:szCs w:val="20"/>
          <w:shd w:val="clear" w:color="auto" w:fill="FFFFFF"/>
          <w:lang w:val="de-DE" w:eastAsia="de-DE" w:bidi="de-DE"/>
        </w:rPr>
        <w:t>.</w:t>
      </w:r>
      <w:r>
        <w:rPr>
          <w:color w:val="000000"/>
          <w:szCs w:val="20"/>
          <w:shd w:val="clear" w:color="auto" w:fill="FFFFFF"/>
        </w:rPr>
        <w:t>SK.</w:t>
      </w:r>
    </w:p>
    <w:p w:rsidR="003C1EF4" w:rsidRDefault="00890D6C">
      <w:pPr>
        <w:spacing w:before="120" w:after="120"/>
        <w:ind w:firstLine="51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>W ustawowym terminie nie wpłynęły ponadto opinie, właściwe według specustawy dla terenu inwestycji:</w:t>
      </w:r>
    </w:p>
    <w:p w:rsidR="003C1EF4" w:rsidRDefault="00890D6C">
      <w:pPr>
        <w:tabs>
          <w:tab w:val="left" w:pos="855"/>
        </w:tabs>
        <w:spacing w:before="120" w:after="120"/>
        <w:ind w:left="435"/>
        <w:rPr>
          <w:color w:val="000000"/>
          <w:szCs w:val="20"/>
          <w:shd w:val="clear" w:color="auto" w:fill="FFFFFF"/>
        </w:rPr>
      </w:pPr>
      <w:r>
        <w:rPr>
          <w:rFonts w:ascii="Times New Roman Greek" w:hAnsi="Times New Roman Greek"/>
          <w:color w:val="000000"/>
          <w:szCs w:val="20"/>
          <w:shd w:val="clear" w:color="auto" w:fill="FFFFFF"/>
        </w:rPr>
        <w:t>―</w:t>
      </w:r>
      <w:r>
        <w:rPr>
          <w:rFonts w:ascii="Times New Roman Greek" w:hAnsi="Times New Roman Greek"/>
          <w:color w:val="000000"/>
          <w:szCs w:val="20"/>
          <w:shd w:val="clear" w:color="auto" w:fill="FFFFFF"/>
        </w:rPr>
        <w:tab/>
        <w:t xml:space="preserve">Prezydenta Miasta </w:t>
      </w:r>
      <w:r>
        <w:rPr>
          <w:color w:val="000000"/>
          <w:szCs w:val="20"/>
          <w:shd w:val="clear" w:color="auto" w:fill="FFFFFF"/>
        </w:rPr>
        <w:t xml:space="preserve">Łodzi, w którego imieniu działa Dyrektor Łódzkiego Ośrodka </w:t>
      </w:r>
      <w:r>
        <w:rPr>
          <w:color w:val="000000"/>
          <w:szCs w:val="20"/>
          <w:shd w:val="clear" w:color="auto" w:fill="FFFFFF"/>
        </w:rPr>
        <w:tab/>
        <w:t>Geodezji;</w:t>
      </w:r>
    </w:p>
    <w:p w:rsidR="003C1EF4" w:rsidRDefault="00890D6C">
      <w:pPr>
        <w:tabs>
          <w:tab w:val="left" w:pos="855"/>
        </w:tabs>
        <w:spacing w:before="120" w:after="120"/>
        <w:ind w:firstLine="435"/>
        <w:rPr>
          <w:color w:val="000000"/>
          <w:szCs w:val="20"/>
          <w:shd w:val="clear" w:color="auto" w:fill="FFFFFF"/>
        </w:rPr>
      </w:pPr>
      <w:r>
        <w:rPr>
          <w:rFonts w:ascii="Times New Roman Greek" w:hAnsi="Times New Roman Greek"/>
          <w:color w:val="000000"/>
          <w:szCs w:val="20"/>
          <w:shd w:val="clear" w:color="auto" w:fill="FFFFFF"/>
        </w:rPr>
        <w:t>―</w:t>
      </w:r>
      <w:r>
        <w:rPr>
          <w:rFonts w:ascii="Times New Roman Greek" w:hAnsi="Times New Roman Greek"/>
          <w:color w:val="000000"/>
          <w:szCs w:val="20"/>
          <w:shd w:val="clear" w:color="auto" w:fill="FFFFFF"/>
        </w:rPr>
        <w:tab/>
        <w:t>Agencji Bez</w:t>
      </w:r>
      <w:r>
        <w:rPr>
          <w:rFonts w:ascii="Times New Roman Greek" w:hAnsi="Times New Roman Greek"/>
          <w:color w:val="000000"/>
          <w:szCs w:val="20"/>
          <w:shd w:val="clear" w:color="auto" w:fill="FFFFFF"/>
        </w:rPr>
        <w:t>piecze</w:t>
      </w:r>
      <w:r>
        <w:rPr>
          <w:color w:val="000000"/>
          <w:szCs w:val="20"/>
          <w:shd w:val="clear" w:color="auto" w:fill="FFFFFF"/>
        </w:rPr>
        <w:t>ństwa Wewnętrznego / Dyrektora Delegatury w Katowicach;</w:t>
      </w:r>
    </w:p>
    <w:p w:rsidR="003C1EF4" w:rsidRDefault="00890D6C">
      <w:pPr>
        <w:tabs>
          <w:tab w:val="left" w:pos="855"/>
        </w:tabs>
        <w:spacing w:before="120" w:after="120"/>
        <w:ind w:firstLine="435"/>
        <w:rPr>
          <w:color w:val="000000"/>
          <w:szCs w:val="20"/>
          <w:shd w:val="clear" w:color="auto" w:fill="FFFFFF"/>
        </w:rPr>
      </w:pPr>
      <w:r>
        <w:rPr>
          <w:rFonts w:ascii="Times New Roman Greek" w:hAnsi="Times New Roman Greek"/>
          <w:color w:val="000000"/>
          <w:szCs w:val="20"/>
          <w:shd w:val="clear" w:color="auto" w:fill="FFFFFF"/>
        </w:rPr>
        <w:t>―</w:t>
      </w:r>
      <w:r>
        <w:rPr>
          <w:rFonts w:ascii="Times New Roman Greek" w:hAnsi="Times New Roman Greek"/>
          <w:color w:val="000000"/>
          <w:szCs w:val="20"/>
          <w:shd w:val="clear" w:color="auto" w:fill="FFFFFF"/>
        </w:rPr>
        <w:tab/>
      </w:r>
      <w:r>
        <w:rPr>
          <w:color w:val="000000"/>
          <w:szCs w:val="20"/>
          <w:shd w:val="clear" w:color="auto" w:fill="FFFFFF"/>
        </w:rPr>
        <w:t>Komendanta Wojewódzkiego Policji w Łodzi;</w:t>
      </w:r>
    </w:p>
    <w:p w:rsidR="003C1EF4" w:rsidRDefault="00890D6C">
      <w:pPr>
        <w:tabs>
          <w:tab w:val="left" w:pos="855"/>
        </w:tabs>
        <w:spacing w:before="120" w:after="120"/>
        <w:ind w:firstLine="435"/>
        <w:rPr>
          <w:color w:val="000000"/>
          <w:szCs w:val="20"/>
          <w:shd w:val="clear" w:color="auto" w:fill="FFFFFF"/>
        </w:rPr>
      </w:pPr>
      <w:r>
        <w:rPr>
          <w:rFonts w:ascii="Times New Roman Greek" w:hAnsi="Times New Roman Greek"/>
          <w:color w:val="000000"/>
          <w:szCs w:val="20"/>
          <w:shd w:val="clear" w:color="auto" w:fill="FFFFFF"/>
        </w:rPr>
        <w:t>―</w:t>
      </w:r>
      <w:r>
        <w:rPr>
          <w:rFonts w:ascii="Times New Roman Greek" w:hAnsi="Times New Roman Greek"/>
          <w:color w:val="000000"/>
          <w:szCs w:val="20"/>
          <w:shd w:val="clear" w:color="auto" w:fill="FFFFFF"/>
        </w:rPr>
        <w:tab/>
        <w:t>Komendanta Wojew</w:t>
      </w:r>
      <w:r>
        <w:rPr>
          <w:color w:val="000000"/>
          <w:szCs w:val="20"/>
          <w:shd w:val="clear" w:color="auto" w:fill="FFFFFF"/>
        </w:rPr>
        <w:t>ódzkiego Państwowej Straży Pożarnej w Łodzi;</w:t>
      </w:r>
    </w:p>
    <w:p w:rsidR="003C1EF4" w:rsidRDefault="00890D6C">
      <w:pPr>
        <w:tabs>
          <w:tab w:val="left" w:pos="855"/>
        </w:tabs>
        <w:spacing w:before="120" w:after="120"/>
        <w:ind w:left="435"/>
        <w:rPr>
          <w:color w:val="000000"/>
          <w:szCs w:val="20"/>
          <w:shd w:val="clear" w:color="auto" w:fill="FFFFFF"/>
        </w:rPr>
      </w:pPr>
      <w:r>
        <w:rPr>
          <w:rFonts w:ascii="Times New Roman Greek" w:hAnsi="Times New Roman Greek"/>
          <w:color w:val="000000"/>
          <w:szCs w:val="20"/>
          <w:shd w:val="clear" w:color="auto" w:fill="FFFFFF"/>
        </w:rPr>
        <w:t>―</w:t>
      </w:r>
      <w:r>
        <w:rPr>
          <w:rFonts w:ascii="Times New Roman Greek" w:hAnsi="Times New Roman Greek"/>
          <w:color w:val="000000"/>
          <w:szCs w:val="20"/>
          <w:shd w:val="clear" w:color="auto" w:fill="FFFFFF"/>
        </w:rPr>
        <w:tab/>
        <w:t>Komendanta Nadwi</w:t>
      </w:r>
      <w:r>
        <w:rPr>
          <w:color w:val="000000"/>
          <w:szCs w:val="20"/>
          <w:shd w:val="clear" w:color="auto" w:fill="FFFFFF"/>
        </w:rPr>
        <w:t>ślańskiego Oddział</w:t>
      </w:r>
      <w:r>
        <w:rPr>
          <w:color w:val="000000"/>
          <w:szCs w:val="20"/>
          <w:shd w:val="clear" w:color="auto" w:fill="FFFFFF"/>
          <w:lang w:val="de-DE" w:eastAsia="de-DE" w:bidi="de-DE"/>
        </w:rPr>
        <w:t>u Stra</w:t>
      </w:r>
      <w:r>
        <w:rPr>
          <w:color w:val="000000"/>
          <w:szCs w:val="20"/>
          <w:shd w:val="clear" w:color="auto" w:fill="FFFFFF"/>
        </w:rPr>
        <w:t xml:space="preserve">ży Granicznej im. Powstania </w:t>
      </w:r>
      <w:r>
        <w:rPr>
          <w:color w:val="000000"/>
          <w:szCs w:val="20"/>
          <w:shd w:val="clear" w:color="auto" w:fill="FFFFFF"/>
        </w:rPr>
        <w:tab/>
        <w:t>Warszawskiego,</w:t>
      </w:r>
    </w:p>
    <w:p w:rsidR="003C1EF4" w:rsidRDefault="00890D6C">
      <w:pPr>
        <w:tabs>
          <w:tab w:val="left" w:pos="855"/>
        </w:tabs>
        <w:spacing w:before="120" w:after="120"/>
        <w:ind w:firstLine="435"/>
        <w:rPr>
          <w:color w:val="000000"/>
          <w:szCs w:val="20"/>
          <w:shd w:val="clear" w:color="auto" w:fill="FFFFFF"/>
        </w:rPr>
      </w:pPr>
      <w:r>
        <w:rPr>
          <w:rFonts w:ascii="Times New Roman Greek" w:hAnsi="Times New Roman Greek"/>
          <w:color w:val="000000"/>
          <w:szCs w:val="20"/>
          <w:shd w:val="clear" w:color="auto" w:fill="FFFFFF"/>
        </w:rPr>
        <w:t>―</w:t>
      </w:r>
      <w:r>
        <w:rPr>
          <w:rFonts w:ascii="Times New Roman Greek" w:hAnsi="Times New Roman Greek"/>
          <w:color w:val="000000"/>
          <w:szCs w:val="20"/>
          <w:shd w:val="clear" w:color="auto" w:fill="FFFFFF"/>
        </w:rPr>
        <w:tab/>
        <w:t>Prezesa Urz</w:t>
      </w:r>
      <w:r>
        <w:rPr>
          <w:color w:val="000000"/>
          <w:szCs w:val="20"/>
          <w:shd w:val="clear" w:color="auto" w:fill="FFFFFF"/>
        </w:rPr>
        <w:t>ędu Lotnictwa Cywilnego,</w:t>
      </w:r>
    </w:p>
    <w:p w:rsidR="003C1EF4" w:rsidRDefault="00890D6C">
      <w:pPr>
        <w:spacing w:before="120" w:after="120"/>
        <w:ind w:firstLine="51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>co do których zgodnie z art. 7 ust. 13 specustawy nieprzekazanie opinii w terminie 21 dni od dnia otrzymania powiadomienia uznaje się za brak zastrzeżeń.</w:t>
      </w:r>
    </w:p>
    <w:p w:rsidR="003C1EF4" w:rsidRDefault="00890D6C">
      <w:pPr>
        <w:spacing w:before="120" w:after="120"/>
        <w:ind w:firstLine="51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>Łódzki Wojewódzki Konserwator Zabytków postanowieniem z dnia 2 li</w:t>
      </w:r>
      <w:r>
        <w:rPr>
          <w:color w:val="000000"/>
          <w:szCs w:val="20"/>
          <w:shd w:val="clear" w:color="auto" w:fill="FFFFFF"/>
        </w:rPr>
        <w:t>pca 2025 r. znak: WUOZ-PP.5151.1465.2025.KP uzgodnił przedmiotowy wniosek w zakresie zgodności z zapisami ustawy z dnia 23 lipca 2003 r. o ochronie zabytków i opiece nad zabytkami (Dz. U. z 2024 r. poz. 1292).</w:t>
      </w:r>
    </w:p>
    <w:p w:rsidR="003C1EF4" w:rsidRDefault="00890D6C">
      <w:pPr>
        <w:spacing w:before="120" w:after="120"/>
        <w:ind w:firstLine="51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>Zarząd Dró</w:t>
      </w:r>
      <w:r>
        <w:rPr>
          <w:color w:val="000000"/>
          <w:szCs w:val="20"/>
          <w:shd w:val="clear" w:color="auto" w:fill="FFFFFF"/>
          <w:lang w:val="x-none" w:eastAsia="en-US" w:bidi="ar-SA"/>
        </w:rPr>
        <w:t>g i</w:t>
      </w:r>
      <w:r>
        <w:rPr>
          <w:color w:val="000000"/>
          <w:szCs w:val="20"/>
          <w:shd w:val="clear" w:color="auto" w:fill="FFFFFF"/>
        </w:rPr>
        <w:t> </w:t>
      </w:r>
      <w:r>
        <w:rPr>
          <w:color w:val="000000"/>
          <w:szCs w:val="20"/>
          <w:shd w:val="clear" w:color="auto" w:fill="FFFFFF"/>
          <w:lang w:val="pt-PT" w:eastAsia="pt-PT" w:bidi="pt-PT"/>
        </w:rPr>
        <w:t>Transportu</w:t>
      </w:r>
      <w:r>
        <w:rPr>
          <w:color w:val="000000"/>
          <w:szCs w:val="20"/>
          <w:shd w:val="clear" w:color="auto" w:fill="FFFFFF"/>
        </w:rPr>
        <w:t xml:space="preserve">, wykonujący zadania </w:t>
      </w:r>
      <w:r>
        <w:rPr>
          <w:color w:val="000000"/>
          <w:szCs w:val="20"/>
          <w:shd w:val="clear" w:color="auto" w:fill="FFFFFF"/>
        </w:rPr>
        <w:t>zarządcy dróg publicznych, pismem z dnia 1 lipca 2025 r. znak: ZDiT-UU.40121.5.135.2025, uzgodnił przedłożony wniosek inwestora w zakresie w jakim projektowana inwestycja przebiega przez nieruchomości wchodzące w skład pasa drogowego, przylega do nieruchom</w:t>
      </w:r>
      <w:r>
        <w:rPr>
          <w:color w:val="000000"/>
          <w:szCs w:val="20"/>
          <w:shd w:val="clear" w:color="auto" w:fill="FFFFFF"/>
        </w:rPr>
        <w:t>ości wchodzących w skład pasa drogowego lub powoduje ograniczenia w sposobie zagospodarowania pasa drogowego, akceptując jednocześnie zaproponowaną obsługę komunikacyjną poprzez dwa istniejące zjazdy z pasa drogowego ul. Nowej.</w:t>
      </w:r>
    </w:p>
    <w:p w:rsidR="003C1EF4" w:rsidRDefault="00890D6C">
      <w:pPr>
        <w:spacing w:before="120" w:after="120"/>
        <w:ind w:firstLine="51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>Wyżej wymienione opinie i uz</w:t>
      </w:r>
      <w:r>
        <w:rPr>
          <w:color w:val="000000"/>
          <w:szCs w:val="20"/>
          <w:shd w:val="clear" w:color="auto" w:fill="FFFFFF"/>
        </w:rPr>
        <w:t>godnienia zostały wysłane do Wnioskodawcy.</w:t>
      </w:r>
    </w:p>
    <w:p w:rsidR="003C1EF4" w:rsidRDefault="00890D6C">
      <w:pPr>
        <w:spacing w:before="120" w:after="120"/>
        <w:ind w:firstLine="51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 xml:space="preserve">Do projektu uchwały, zgodnie z art. 7 ust. 17 specustawy, dołączone zostały uzyskane opinie i uzgodnienia oraz prognoza oddziaływania na środowisko i opracowanie ekofizjograficzne </w:t>
      </w:r>
      <w:r>
        <w:rPr>
          <w:color w:val="000000"/>
          <w:szCs w:val="20"/>
          <w:shd w:val="clear" w:color="auto" w:fill="FFFFFF"/>
        </w:rPr>
        <w:lastRenderedPageBreak/>
        <w:t>sporządzone dla potrzeb obowiązuj</w:t>
      </w:r>
      <w:r>
        <w:rPr>
          <w:color w:val="000000"/>
          <w:szCs w:val="20"/>
          <w:shd w:val="clear" w:color="auto" w:fill="FFFFFF"/>
        </w:rPr>
        <w:t>ącego miejscowego planu zagospodarowania przestrzennego. Z treści opinii i uzgodnień wynika, że podmioty opiniujące lub uzgadniające, z wyłączeniem Miejskiej Komisji Urbanistyczno-Architektonicznej w Łodzi,  nie wniosły sprzeciwu wobec planowanej inwestycj</w:t>
      </w:r>
      <w:r>
        <w:rPr>
          <w:color w:val="000000"/>
          <w:szCs w:val="20"/>
          <w:shd w:val="clear" w:color="auto" w:fill="FFFFFF"/>
        </w:rPr>
        <w:t>i.</w:t>
      </w:r>
    </w:p>
    <w:p w:rsidR="003C1EF4" w:rsidRDefault="00890D6C">
      <w:pPr>
        <w:spacing w:before="120" w:after="120"/>
        <w:ind w:firstLine="51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>Planowany sposób zagospodarowania terenu obejmuje b</w:t>
      </w:r>
      <w:r>
        <w:rPr>
          <w:color w:val="000000"/>
          <w:szCs w:val="20"/>
          <w:u w:color="000000"/>
          <w:shd w:val="clear" w:color="auto" w:fill="FFFFFF"/>
        </w:rPr>
        <w:t xml:space="preserve">udowę budynku mieszkalnego wielorodzinnego, </w:t>
      </w:r>
      <w:r>
        <w:rPr>
          <w:color w:val="000000"/>
          <w:szCs w:val="20"/>
          <w:shd w:val="clear" w:color="auto" w:fill="FFFFFF"/>
        </w:rPr>
        <w:t>usytuowanego w miejscu istniejącego budynku biurowego przy ulicy Nowej 29/31 w Łodzi. Lokalizację ściany frontowej budynku, o maksymalnie 11 kondygnacjach nad</w:t>
      </w:r>
      <w:r>
        <w:rPr>
          <w:color w:val="000000"/>
          <w:szCs w:val="20"/>
          <w:shd w:val="clear" w:color="auto" w:fill="FFFFFF"/>
        </w:rPr>
        <w:t>ziemnych i 1 podziemnej, wyznacza strefa ochronna ciepłociągu, zlokalizowanego na terenie inwestycji. Wnioskowana powierzchnia zabudowy nie przekroczy 1 485 m</w:t>
      </w:r>
      <w:r>
        <w:rPr>
          <w:color w:val="000000"/>
          <w:szCs w:val="20"/>
          <w:shd w:val="clear" w:color="auto" w:fill="FFFFFF"/>
          <w:vertAlign w:val="superscript"/>
        </w:rPr>
        <w:t>2</w:t>
      </w:r>
      <w:r>
        <w:rPr>
          <w:color w:val="000000"/>
          <w:szCs w:val="20"/>
          <w:shd w:val="clear" w:color="auto" w:fill="FFFFFF"/>
        </w:rPr>
        <w:t xml:space="preserve">, co stanowi 60% powierzchni działek inwestora. Teren inwestycji mieszkaniowej leży w pozostałej </w:t>
      </w:r>
      <w:r>
        <w:rPr>
          <w:color w:val="000000"/>
          <w:szCs w:val="20"/>
          <w:shd w:val="clear" w:color="auto" w:fill="FFFFFF"/>
        </w:rPr>
        <w:t>części Strefy Wielkomiejskiej. Projekt przewiduje realizację od 50 do 112 mieszkań, o łącznej powierzchni użytkowej od 3800 m</w:t>
      </w:r>
      <w:r>
        <w:rPr>
          <w:color w:val="000000"/>
          <w:szCs w:val="20"/>
          <w:shd w:val="clear" w:color="auto" w:fill="FFFFFF"/>
          <w:vertAlign w:val="superscript"/>
        </w:rPr>
        <w:t>2</w:t>
      </w:r>
      <w:r>
        <w:rPr>
          <w:color w:val="000000"/>
          <w:szCs w:val="20"/>
          <w:shd w:val="clear" w:color="auto" w:fill="FFFFFF"/>
        </w:rPr>
        <w:t xml:space="preserve"> do 4900 m</w:t>
      </w:r>
      <w:r>
        <w:rPr>
          <w:color w:val="000000"/>
          <w:szCs w:val="20"/>
          <w:shd w:val="clear" w:color="auto" w:fill="FFFFFF"/>
          <w:vertAlign w:val="superscript"/>
        </w:rPr>
        <w:t>2</w:t>
      </w:r>
      <w:r>
        <w:rPr>
          <w:color w:val="000000"/>
          <w:szCs w:val="20"/>
          <w:shd w:val="clear" w:color="auto" w:fill="FFFFFF"/>
        </w:rPr>
        <w:t>. Inwestycja zlokalizowana jest w obszarze  układu urbanistycznego "Nowa Dzielnica 1843"  wpisanego do Gminnej Ewidencj</w:t>
      </w:r>
      <w:r>
        <w:rPr>
          <w:color w:val="000000"/>
          <w:szCs w:val="20"/>
          <w:shd w:val="clear" w:color="auto" w:fill="FFFFFF"/>
        </w:rPr>
        <w:t xml:space="preserve">i Zabytków Miasta Łodzi. </w:t>
      </w:r>
    </w:p>
    <w:p w:rsidR="003C1EF4" w:rsidRDefault="00890D6C">
      <w:pPr>
        <w:spacing w:before="120" w:after="120"/>
        <w:ind w:firstLine="51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>Wnioskodawca złożył oświadczenie, o którym mowa w art. 7 ust. 8 pkt 2 specustawy, że nie zachodzi kolizja lokalizacji inwestycji mieszkaniowej z inwestycjami, o których mowa w art. 4 pkt 1-13 specustawy i które mają ustawowe pierw</w:t>
      </w:r>
      <w:r>
        <w:rPr>
          <w:color w:val="000000"/>
          <w:szCs w:val="20"/>
          <w:shd w:val="clear" w:color="auto" w:fill="FFFFFF"/>
        </w:rPr>
        <w:t>szeństwo przed inwestycjami mieszkaniowymi.</w:t>
      </w:r>
    </w:p>
    <w:p w:rsidR="003C1EF4" w:rsidRDefault="00890D6C">
      <w:pPr>
        <w:spacing w:before="120" w:after="120"/>
        <w:ind w:firstLine="51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>Na obszarze obejmującym teren wniosku obowiązuje miejscowy plan zagospodarowania przestrzennego -  uchwała Nr IX/316/19 Rady Miejskiej w Łodzi z dnia 8 maja 2019 r., zwany dalej mpzp lub planem miejscowym. Planow</w:t>
      </w:r>
      <w:r>
        <w:rPr>
          <w:color w:val="000000"/>
          <w:szCs w:val="20"/>
          <w:shd w:val="clear" w:color="auto" w:fill="FFFFFF"/>
        </w:rPr>
        <w:t>ana inwestycja nie uwzględnia ustaleń planu miejscowego w zakresie przeznaczenia (mpzp - usługowa, koncepcja - mieszkaniowa wielorodzinna), linii zabudowy, powierzchni zabudowy (mpzp - maksimum 50%, koncepcja - od 35% - 65%), intensywności zabudowy (mpzp -</w:t>
      </w:r>
      <w:r>
        <w:rPr>
          <w:color w:val="000000"/>
          <w:szCs w:val="20"/>
          <w:shd w:val="clear" w:color="auto" w:fill="FFFFFF"/>
        </w:rPr>
        <w:t xml:space="preserve"> maksimum 2.0, koncepcja 3.2), wysokości zabudowy (mpzp - maksimum 17 m, koncepcja - maksimum 35 m). </w:t>
      </w:r>
    </w:p>
    <w:p w:rsidR="003C1EF4" w:rsidRDefault="00890D6C">
      <w:pPr>
        <w:spacing w:before="120" w:after="120"/>
        <w:ind w:firstLine="51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ab/>
        <w:t>Zgodnie z art. 5 ust. 3 specustawy inwestycję mieszkaniową lub inwestycję towarzyszącą realizuje się niezależnie od istnienia lub ustaleń miejscowego</w:t>
      </w:r>
      <w:r>
        <w:rPr>
          <w:color w:val="000000"/>
          <w:szCs w:val="20"/>
          <w:shd w:val="clear" w:color="auto" w:fill="FFFFFF"/>
        </w:rPr>
        <w:t xml:space="preserve"> planu zagospodarowania przestrzennego pod warunkiem, że nie jest sprzeczna ze studium uwarunkowań kierunków zagospodarowania przestrzennego gminy oraz uchwałą o utworzeniu parku kulturowego. Z ustaleń Studium uwarunkowań i kierunków zagospodarowania prze</w:t>
      </w:r>
      <w:r>
        <w:rPr>
          <w:color w:val="000000"/>
          <w:szCs w:val="20"/>
          <w:shd w:val="clear" w:color="auto" w:fill="FFFFFF"/>
        </w:rPr>
        <w:t>strzennego, przyjętego uchwałą Nr LXIX/1753/18 Rady Miejskiej w Łodzi z dnia 28 </w:t>
      </w:r>
      <w:r>
        <w:rPr>
          <w:color w:val="000000"/>
          <w:szCs w:val="20"/>
          <w:shd w:val="clear" w:color="auto" w:fill="FFFFFF"/>
          <w:lang w:val="it-IT" w:eastAsia="it-IT" w:bidi="it-IT"/>
        </w:rPr>
        <w:t>marca 2018</w:t>
      </w:r>
      <w:r>
        <w:rPr>
          <w:color w:val="000000"/>
          <w:szCs w:val="20"/>
          <w:shd w:val="clear" w:color="auto" w:fill="FFFFFF"/>
        </w:rPr>
        <w:t> r., zmienioną uchwałą Nr VI/215/19 Rady Miejskiej w Łodzi z dnia 6 </w:t>
      </w:r>
      <w:r>
        <w:rPr>
          <w:color w:val="000000"/>
          <w:szCs w:val="20"/>
          <w:shd w:val="clear" w:color="auto" w:fill="FFFFFF"/>
          <w:lang w:val="it-IT" w:eastAsia="it-IT" w:bidi="it-IT"/>
        </w:rPr>
        <w:t>marca 2019</w:t>
      </w:r>
      <w:r>
        <w:rPr>
          <w:color w:val="000000"/>
          <w:szCs w:val="20"/>
          <w:shd w:val="clear" w:color="auto" w:fill="FFFFFF"/>
        </w:rPr>
        <w:t> r. oraz uchwałą Nr LII/1605/21 z dnia 22 grudnia 2021 r., zwanego dalej Studium, wynika</w:t>
      </w:r>
      <w:r>
        <w:rPr>
          <w:color w:val="000000"/>
          <w:szCs w:val="20"/>
          <w:shd w:val="clear" w:color="auto" w:fill="FFFFFF"/>
        </w:rPr>
        <w:t>, że lokalizacja wnioskowanej inwestycji mieszkaniowej znajduje się w jednostce W3b - strefa wielkomiejska, jednostka funkcjonalno-przestrzenna - wielofunkcyjne kwartały śródmiejskie III. W studium wskazano maksymalną intensywność zabudowy 2,5, liczoną dla</w:t>
      </w:r>
      <w:r>
        <w:rPr>
          <w:color w:val="000000"/>
          <w:szCs w:val="20"/>
          <w:shd w:val="clear" w:color="auto" w:fill="FFFFFF"/>
        </w:rPr>
        <w:t xml:space="preserve"> całego terenu W3b. Zgodnie z wnioskiem maksymalny wskaźnik intensywności zabudowy  dla terenu W3b po realizacji inwestycji wyniesie około 0,9 (koncepcja dla terenu inwestycji mieszkaniowej objętej wnioskiem - 3.2). Wskaźnik powierzchni biologicznie czynne</w:t>
      </w:r>
      <w:r>
        <w:rPr>
          <w:color w:val="000000"/>
          <w:szCs w:val="20"/>
          <w:shd w:val="clear" w:color="auto" w:fill="FFFFFF"/>
        </w:rPr>
        <w:t>j w Studium określono na poziomie minimum 5 %. Inwestor wnioskuje o minimum 12,5 % powierzchni biologicznie czynnej w stosunku do terenu inwestycji. W studium określono maksymalną wysokość zabudowy w pierzejach ulic i placów -  w nawiązaniu do wysokości za</w:t>
      </w:r>
      <w:r>
        <w:rPr>
          <w:color w:val="000000"/>
          <w:szCs w:val="20"/>
          <w:shd w:val="clear" w:color="auto" w:fill="FFFFFF"/>
        </w:rPr>
        <w:t>budowy historycznej, nie wyżej niż 21 m, a w pierzejach z udziałem zabudowy istniejącej wyższej niż 21 m oraz w narożnikach zabudowy przy skrzyżowaniach ulic  - nie wyżej niż 25 m z zastrzeżeniem m.in.: przewyższeń ze względów uzasadnionych kompozycyjnie -</w:t>
      </w:r>
      <w:r>
        <w:rPr>
          <w:color w:val="000000"/>
          <w:szCs w:val="20"/>
          <w:shd w:val="clear" w:color="auto" w:fill="FFFFFF"/>
        </w:rPr>
        <w:t xml:space="preserve"> nie wyżej niż 30 m. Wniosek obejmuje zabudowę o maksymalnej wysokości 35 m, co jest sprzeczne z ustaleniami studium.</w:t>
      </w:r>
    </w:p>
    <w:p w:rsidR="003C1EF4" w:rsidRDefault="00890D6C">
      <w:pPr>
        <w:spacing w:before="120" w:after="120"/>
        <w:ind w:firstLine="51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>Inwestor zawnioskował o skorzystanie z wyjątku, o którym mowa w art. 5 ust. 4 pkt 3 specustawy. W mającym zastosowanie w niniejszej sprawi</w:t>
      </w:r>
      <w:r>
        <w:rPr>
          <w:color w:val="000000"/>
          <w:szCs w:val="20"/>
          <w:shd w:val="clear" w:color="auto" w:fill="FFFFFF"/>
        </w:rPr>
        <w:t xml:space="preserve">e brzmieniu przepisu prawa, warunek </w:t>
      </w:r>
      <w:r>
        <w:rPr>
          <w:color w:val="000000"/>
          <w:szCs w:val="20"/>
          <w:shd w:val="clear" w:color="auto" w:fill="FFFFFF"/>
        </w:rPr>
        <w:lastRenderedPageBreak/>
        <w:t xml:space="preserve">niesprzeczności ze studium nie dotyczy terenów, na których jest zlokalizowany budynek biurowy. Inwestor do wniosku dołączył wypisy z kartoteki budynków z dnia 11 marca 2025 r.  dla nieruchomości przy ulicy Nowej 29/31 w </w:t>
      </w:r>
      <w:r>
        <w:rPr>
          <w:color w:val="000000"/>
          <w:szCs w:val="20"/>
          <w:shd w:val="clear" w:color="auto" w:fill="FFFFFF"/>
        </w:rPr>
        <w:t>Łodzi, wg których na terenie objętym wnioskiem istnieją dwa budynki usługowe o powierzchni 569 m</w:t>
      </w:r>
      <w:r>
        <w:rPr>
          <w:color w:val="000000"/>
          <w:szCs w:val="20"/>
          <w:shd w:val="clear" w:color="auto" w:fill="FFFFFF"/>
          <w:vertAlign w:val="superscript"/>
        </w:rPr>
        <w:t xml:space="preserve">2 </w:t>
      </w:r>
      <w:r>
        <w:rPr>
          <w:color w:val="000000"/>
          <w:szCs w:val="20"/>
          <w:shd w:val="clear" w:color="auto" w:fill="FFFFFF"/>
        </w:rPr>
        <w:t>(rok zakończenia budowy - 1969) oraz 342 m</w:t>
      </w:r>
      <w:r>
        <w:rPr>
          <w:color w:val="000000"/>
          <w:szCs w:val="20"/>
          <w:shd w:val="clear" w:color="auto" w:fill="FFFFFF"/>
          <w:vertAlign w:val="superscript"/>
        </w:rPr>
        <w:t>2</w:t>
      </w:r>
      <w:r>
        <w:rPr>
          <w:color w:val="000000"/>
          <w:szCs w:val="20"/>
          <w:shd w:val="clear" w:color="auto" w:fill="FFFFFF"/>
        </w:rPr>
        <w:t xml:space="preserve"> (rok zakończenia budowy 1981).</w:t>
      </w:r>
    </w:p>
    <w:p w:rsidR="003C1EF4" w:rsidRDefault="00890D6C">
      <w:pPr>
        <w:spacing w:before="120" w:after="120"/>
        <w:ind w:firstLine="51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 xml:space="preserve"> Inwestycja została zlokalizowana poza obszarem parku kulturowego.</w:t>
      </w:r>
    </w:p>
    <w:p w:rsidR="003C1EF4" w:rsidRDefault="00890D6C">
      <w:pPr>
        <w:spacing w:before="120" w:after="120"/>
        <w:ind w:firstLine="51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>Wniosek inwestor</w:t>
      </w:r>
      <w:r>
        <w:rPr>
          <w:color w:val="000000"/>
          <w:szCs w:val="20"/>
          <w:shd w:val="clear" w:color="auto" w:fill="FFFFFF"/>
        </w:rPr>
        <w:t>a spełnia standardy lokalizacji i realizacji inwestycji mieszkaniowych określonych w rozdziale 3 specustawy w następujący sposób:</w:t>
      </w:r>
    </w:p>
    <w:p w:rsidR="003C1EF4" w:rsidRDefault="00890D6C">
      <w:pPr>
        <w:spacing w:before="120" w:after="120"/>
        <w:ind w:firstLine="51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>1) zgodnie z art. 17 ust. 1 specustawy:</w:t>
      </w:r>
    </w:p>
    <w:p w:rsidR="003C1EF4" w:rsidRDefault="00890D6C">
      <w:pPr>
        <w:spacing w:before="120" w:after="120"/>
        <w:ind w:firstLine="51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>a) inwestycja ma zapewniony dostęp do drogi publicznej - ulicy Nowej,</w:t>
      </w:r>
    </w:p>
    <w:p w:rsidR="003C1EF4" w:rsidRDefault="00890D6C">
      <w:pPr>
        <w:spacing w:before="120" w:after="120"/>
        <w:ind w:firstLine="51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>b) inwestycja ma</w:t>
      </w:r>
      <w:r>
        <w:rPr>
          <w:color w:val="000000"/>
          <w:szCs w:val="20"/>
          <w:shd w:val="clear" w:color="auto" w:fill="FFFFFF"/>
        </w:rPr>
        <w:t xml:space="preserve"> zapewniony dostęp do sieci wodociągowej i kanalizacyjnej – zgodnie z pismem Zakładu Wodociągów i Kanalizacji Sp. z o.o., znak: IT.424.290.2025.SZ</w:t>
      </w:r>
      <w:r>
        <w:rPr>
          <w:color w:val="000000"/>
          <w:szCs w:val="20"/>
          <w:shd w:val="clear" w:color="auto" w:fill="FFFFFF"/>
          <w:lang w:val="de-DE" w:eastAsia="de-DE" w:bidi="de-DE"/>
        </w:rPr>
        <w:t xml:space="preserve"> z</w:t>
      </w:r>
      <w:r>
        <w:rPr>
          <w:color w:val="000000"/>
          <w:szCs w:val="20"/>
          <w:shd w:val="clear" w:color="auto" w:fill="FFFFFF"/>
        </w:rPr>
        <w:t> dnia 7.02.2025 r.,</w:t>
      </w:r>
    </w:p>
    <w:p w:rsidR="003C1EF4" w:rsidRDefault="00890D6C">
      <w:pPr>
        <w:spacing w:before="120" w:after="120"/>
        <w:ind w:firstLine="51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 xml:space="preserve">c) inwestycja ma zapewniony dostęp do sieci elektroenergetycznej – zgodnie </w:t>
      </w:r>
      <w:r>
        <w:rPr>
          <w:color w:val="000000"/>
          <w:szCs w:val="20"/>
          <w:shd w:val="clear" w:color="auto" w:fill="FFFFFF"/>
        </w:rPr>
        <w:t>z oświadczeniem o zapewnieniu dostaw energii elektrycznej oraz warunkach przyłączenia obiektu budowlanego do sieci dystrybucyjnej znak: 25-D7/WZD/00068/JW z dnia 6.02.2025 r. PGE Dystrybucja S.A. w Łodzi;</w:t>
      </w:r>
    </w:p>
    <w:p w:rsidR="003C1EF4" w:rsidRDefault="00890D6C">
      <w:pPr>
        <w:spacing w:before="120" w:after="120"/>
        <w:ind w:firstLine="51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>2) zgodnie z art. 17 ust. 2 w związku z art. 19 spe</w:t>
      </w:r>
      <w:r>
        <w:rPr>
          <w:color w:val="000000"/>
          <w:szCs w:val="20"/>
          <w:shd w:val="clear" w:color="auto" w:fill="FFFFFF"/>
        </w:rPr>
        <w:t>custawy i uchwałą Nr LXXVI/2076/18 Rady Miejskiej w Łodzi z dnia 10 października 2018 r. w sprawie lokalnych standardów urbanistycznych dla Miasta Łodzi (Dz. Urz. Woj. Łódzkiego poz. 5644), zmienionej uchwałami Rady Miejskiej w Łodzi: Nr III/59/18 z dnia 2</w:t>
      </w:r>
      <w:r>
        <w:rPr>
          <w:color w:val="000000"/>
          <w:szCs w:val="20"/>
          <w:shd w:val="clear" w:color="auto" w:fill="FFFFFF"/>
        </w:rPr>
        <w:t>7 grudnia 2018 r. (Dz. Urz. Woj. Łódzkiego z 2019 r. poz. 348), Nr XXXIII/1093/20 z dnia 2 grudnia 2020 r. (Dz. Urz. Woj. Łódzkiego poz. 7200), Nr LX/1810/22</w:t>
      </w:r>
      <w:r>
        <w:rPr>
          <w:color w:val="000000"/>
          <w:szCs w:val="20"/>
          <w:shd w:val="clear" w:color="auto" w:fill="FFFFFF"/>
          <w:lang w:val="de-DE" w:eastAsia="de-DE" w:bidi="de-DE"/>
        </w:rPr>
        <w:t xml:space="preserve"> z</w:t>
      </w:r>
      <w:r>
        <w:rPr>
          <w:color w:val="000000"/>
          <w:szCs w:val="20"/>
          <w:shd w:val="clear" w:color="auto" w:fill="FFFFFF"/>
        </w:rPr>
        <w:t> dnia 1 czerwca 2022 r. (Dz. Urz. Woj. Łódzkiego poz. 3675), Nr LXXIII/2191/23</w:t>
      </w:r>
      <w:r>
        <w:rPr>
          <w:color w:val="000000"/>
          <w:szCs w:val="20"/>
          <w:shd w:val="clear" w:color="auto" w:fill="FFFFFF"/>
          <w:lang w:val="de-DE" w:eastAsia="de-DE" w:bidi="de-DE"/>
        </w:rPr>
        <w:t xml:space="preserve"> z</w:t>
      </w:r>
      <w:r>
        <w:rPr>
          <w:color w:val="000000"/>
          <w:szCs w:val="20"/>
          <w:shd w:val="clear" w:color="auto" w:fill="FFFFFF"/>
        </w:rPr>
        <w:t> dnia 15 marca 20</w:t>
      </w:r>
      <w:r>
        <w:rPr>
          <w:color w:val="000000"/>
          <w:szCs w:val="20"/>
          <w:shd w:val="clear" w:color="auto" w:fill="FFFFFF"/>
        </w:rPr>
        <w:t>23 r. (Dz. Urz. Woj. Łódzkiego poz. 4066) i Nr LXXXVI/2608/24</w:t>
      </w:r>
      <w:r>
        <w:rPr>
          <w:color w:val="000000"/>
          <w:szCs w:val="20"/>
          <w:shd w:val="clear" w:color="auto" w:fill="FFFFFF"/>
          <w:lang w:val="de-DE" w:eastAsia="de-DE" w:bidi="de-DE"/>
        </w:rPr>
        <w:t xml:space="preserve"> z</w:t>
      </w:r>
      <w:r>
        <w:rPr>
          <w:color w:val="000000"/>
          <w:szCs w:val="20"/>
          <w:shd w:val="clear" w:color="auto" w:fill="FFFFFF"/>
        </w:rPr>
        <w:t> dnia 17 stycznia 2024 r. (Dz. Urz. Woj. Łódzkiego poz. 1102), zwanych dalej lokalnymi standardami urbanistycznymi:</w:t>
      </w:r>
    </w:p>
    <w:p w:rsidR="003C1EF4" w:rsidRDefault="00890D6C">
      <w:pPr>
        <w:spacing w:before="120" w:after="120"/>
        <w:ind w:firstLine="51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>a) odległość (dojście) inwestycji mieszkaniowej od istniejącego przystanku pu</w:t>
      </w:r>
      <w:r>
        <w:rPr>
          <w:color w:val="000000"/>
          <w:szCs w:val="20"/>
          <w:shd w:val="clear" w:color="auto" w:fill="FFFFFF"/>
        </w:rPr>
        <w:t>blicznego transportu zbiorowego - przystanki tramwajowe przy al. Marszałka Józefa Piłsudskiego - wynosi nie więcej niż 500 m (około 300 m),</w:t>
      </w:r>
    </w:p>
    <w:p w:rsidR="003C1EF4" w:rsidRDefault="00890D6C">
      <w:pPr>
        <w:spacing w:before="120" w:after="120"/>
        <w:ind w:firstLine="51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>b)</w:t>
      </w:r>
      <w:r>
        <w:rPr>
          <w:color w:val="000000"/>
          <w:szCs w:val="20"/>
          <w:shd w:val="clear" w:color="auto" w:fill="FFFFFF"/>
        </w:rPr>
        <w:tab/>
        <w:t> odległość (dojście) do Szkoły Podstawowej nr 170 w Zespole Szkolno-Przedszkolnym nr 9 w Łodzi przy ulicy Miedzia</w:t>
      </w:r>
      <w:r>
        <w:rPr>
          <w:color w:val="000000"/>
          <w:szCs w:val="20"/>
          <w:shd w:val="clear" w:color="auto" w:fill="FFFFFF"/>
        </w:rPr>
        <w:t>nej 1/3, mogącej przyjąć nie mniej niż 7% planowanych mieszkańców inwestycji, wynosi nie więcej niż 1000 m (około 450 m), co potwierdza zaświadczenie z dnia 24 lutego 2025 r., wydane zgodnie z art. 17 ust. 3 specustawy;</w:t>
      </w:r>
    </w:p>
    <w:p w:rsidR="003C1EF4" w:rsidRDefault="00890D6C">
      <w:pPr>
        <w:tabs>
          <w:tab w:val="left" w:pos="855"/>
        </w:tabs>
        <w:spacing w:before="120" w:after="120"/>
        <w:ind w:firstLine="51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>3)</w:t>
      </w:r>
      <w:r>
        <w:rPr>
          <w:color w:val="000000"/>
          <w:szCs w:val="20"/>
          <w:shd w:val="clear" w:color="auto" w:fill="FFFFFF"/>
        </w:rPr>
        <w:tab/>
        <w:t xml:space="preserve">zgodnie </w:t>
      </w:r>
      <w:r>
        <w:rPr>
          <w:color w:val="000000"/>
          <w:szCs w:val="20"/>
          <w:shd w:val="clear" w:color="auto" w:fill="FFFFFF"/>
        </w:rPr>
        <w:t>z art. 17 ust. 4 w związku z art. 19 specustawy i lokalnymi standardami urbanistycznymi, inwestycja jest zlokalizowana w odległości okoł</w:t>
      </w:r>
      <w:r>
        <w:rPr>
          <w:color w:val="000000"/>
          <w:szCs w:val="20"/>
          <w:shd w:val="clear" w:color="auto" w:fill="FFFFFF"/>
          <w:lang w:val="it-IT" w:eastAsia="it-IT" w:bidi="it-IT"/>
        </w:rPr>
        <w:t xml:space="preserve">o </w:t>
      </w:r>
      <w:r>
        <w:rPr>
          <w:color w:val="000000"/>
          <w:szCs w:val="20"/>
          <w:shd w:val="clear" w:color="auto" w:fill="FFFFFF"/>
        </w:rPr>
        <w:t>550 m od Parku Źródliska I o powierzchni ok. 9,2 ha, czyli w odległości mniejszej niż 1000 m  od urządzonych terenów w</w:t>
      </w:r>
      <w:r>
        <w:rPr>
          <w:color w:val="000000"/>
          <w:szCs w:val="20"/>
          <w:shd w:val="clear" w:color="auto" w:fill="FFFFFF"/>
        </w:rPr>
        <w:t>ypoczynku oraz rekreacji lub sportu, o powierzchni stanowiącej co najmniej iloczyn planowanej liczby mieszkańców (maksymalnie 176 mieszkańców) oraz wskaźnika wynoszącego 4 m</w:t>
      </w:r>
      <w:r>
        <w:rPr>
          <w:color w:val="000000"/>
          <w:szCs w:val="20"/>
          <w:shd w:val="clear" w:color="auto" w:fill="FFFFFF"/>
          <w:vertAlign w:val="superscript"/>
        </w:rPr>
        <w:t>2</w:t>
      </w:r>
      <w:r>
        <w:rPr>
          <w:color w:val="000000"/>
          <w:szCs w:val="20"/>
          <w:shd w:val="clear" w:color="auto" w:fill="FFFFFF"/>
        </w:rPr>
        <w:t>, czyli 704 m</w:t>
      </w:r>
      <w:r>
        <w:rPr>
          <w:color w:val="000000"/>
          <w:szCs w:val="20"/>
          <w:shd w:val="clear" w:color="auto" w:fill="FFFFFF"/>
          <w:vertAlign w:val="superscript"/>
        </w:rPr>
        <w:t>2</w:t>
      </w:r>
      <w:r>
        <w:rPr>
          <w:color w:val="000000"/>
          <w:szCs w:val="20"/>
          <w:shd w:val="clear" w:color="auto" w:fill="FFFFFF"/>
        </w:rPr>
        <w:t>;</w:t>
      </w:r>
    </w:p>
    <w:p w:rsidR="003C1EF4" w:rsidRDefault="00890D6C">
      <w:pPr>
        <w:tabs>
          <w:tab w:val="left" w:pos="855"/>
        </w:tabs>
        <w:spacing w:before="120" w:after="120"/>
        <w:ind w:firstLine="51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>4)</w:t>
      </w:r>
      <w:r>
        <w:rPr>
          <w:color w:val="000000"/>
          <w:szCs w:val="20"/>
          <w:shd w:val="clear" w:color="auto" w:fill="FFFFFF"/>
        </w:rPr>
        <w:tab/>
        <w:t>zgodnie z art. 17 ust. 4a  w związku z art. 17 ust. 4b pkt 2 sp</w:t>
      </w:r>
      <w:r>
        <w:rPr>
          <w:color w:val="000000"/>
          <w:szCs w:val="20"/>
          <w:shd w:val="clear" w:color="auto" w:fill="FFFFFF"/>
        </w:rPr>
        <w:t>ecustawy - zapewnienie minimalnego udziału ogólnodostępnego, nieogrodzonego, urządzonego terenu wypoczynku oraz rekreacji lub sportu w ramach powierzchni biologicznie czynnej - nie dotyczy; teren inwestycji położony w obszarze zabudowy śródmiejskiej zgodni</w:t>
      </w:r>
      <w:r>
        <w:rPr>
          <w:color w:val="000000"/>
          <w:szCs w:val="20"/>
          <w:shd w:val="clear" w:color="auto" w:fill="FFFFFF"/>
        </w:rPr>
        <w:t>e z ustaleniami mpzp;</w:t>
      </w:r>
    </w:p>
    <w:p w:rsidR="003C1EF4" w:rsidRDefault="00890D6C">
      <w:pPr>
        <w:tabs>
          <w:tab w:val="left" w:pos="855"/>
        </w:tabs>
        <w:spacing w:before="120" w:after="120"/>
        <w:ind w:firstLine="51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lastRenderedPageBreak/>
        <w:t>5)</w:t>
      </w:r>
      <w:r>
        <w:rPr>
          <w:color w:val="000000"/>
          <w:szCs w:val="20"/>
          <w:shd w:val="clear" w:color="auto" w:fill="FFFFFF"/>
        </w:rPr>
        <w:tab/>
        <w:t>zgodnie z art. 17 ust 4d pkt 1 specustawy minimalny udział powierzchni biologicznie czynnej w obszarze zabudowy śródmiejskiej wyniesie nie mniej niż 12,5% powierzchni terenu inwestycji - wg wniosku i projektu uchwały minimum 12,5%;</w:t>
      </w:r>
    </w:p>
    <w:p w:rsidR="003C1EF4" w:rsidRDefault="00890D6C">
      <w:pPr>
        <w:tabs>
          <w:tab w:val="left" w:pos="855"/>
        </w:tabs>
        <w:spacing w:before="120" w:after="120"/>
        <w:ind w:firstLine="51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>6)</w:t>
      </w:r>
      <w:r>
        <w:rPr>
          <w:color w:val="000000"/>
          <w:szCs w:val="20"/>
          <w:shd w:val="clear" w:color="auto" w:fill="FFFFFF"/>
        </w:rPr>
        <w:tab/>
        <w:t>zgodnie z art. 17 ust 4d pkt 2 specustawy minimalna liczba miejsc postojowych  będzie równa co najmniej liczbie mieszkań w obszarze zabudowy śródmiejskiej;</w:t>
      </w:r>
    </w:p>
    <w:p w:rsidR="003C1EF4" w:rsidRDefault="00890D6C">
      <w:pPr>
        <w:tabs>
          <w:tab w:val="left" w:pos="855"/>
        </w:tabs>
        <w:spacing w:before="120" w:after="120"/>
        <w:ind w:firstLine="51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>7)</w:t>
      </w:r>
      <w:r>
        <w:rPr>
          <w:color w:val="000000"/>
          <w:szCs w:val="20"/>
          <w:shd w:val="clear" w:color="auto" w:fill="FFFFFF"/>
        </w:rPr>
        <w:tab/>
        <w:t>zgodnie z art. 17 ust. 6 w związku z art. 19 specustawy i lokalnymi standardami urbanistyczny</w:t>
      </w:r>
      <w:r>
        <w:rPr>
          <w:color w:val="000000"/>
          <w:szCs w:val="20"/>
          <w:shd w:val="clear" w:color="auto" w:fill="FFFFFF"/>
        </w:rPr>
        <w:t>mi, projektowany budynek będzie miał więcej niż 7 kondygnacji nadziemnych - tj. maksimum 11 kondygnacji nadziemnych i do 35 m ponieważ w promieniu 250 m (w odległości około 50 m) od planowanego budynku znajduje się budynek mieszkalny o wysokości 14 kondygn</w:t>
      </w:r>
      <w:r>
        <w:rPr>
          <w:color w:val="000000"/>
          <w:szCs w:val="20"/>
          <w:shd w:val="clear" w:color="auto" w:fill="FFFFFF"/>
        </w:rPr>
        <w:t>acji nadziemnych i około 42 m;</w:t>
      </w:r>
    </w:p>
    <w:p w:rsidR="003C1EF4" w:rsidRDefault="00890D6C">
      <w:pPr>
        <w:tabs>
          <w:tab w:val="left" w:pos="855"/>
        </w:tabs>
        <w:spacing w:before="120" w:after="120"/>
        <w:ind w:firstLine="51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>8)</w:t>
      </w:r>
      <w:r>
        <w:rPr>
          <w:color w:val="000000"/>
          <w:szCs w:val="20"/>
          <w:shd w:val="clear" w:color="auto" w:fill="FFFFFF"/>
        </w:rPr>
        <w:tab/>
        <w:t>zgodnie z art. 19 ust. 3 specustawy i lokalnymi standardami urbanistycznymi:</w:t>
      </w:r>
    </w:p>
    <w:p w:rsidR="003C1EF4" w:rsidRDefault="00890D6C">
      <w:pPr>
        <w:spacing w:before="120" w:after="120"/>
        <w:ind w:firstLine="51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>a) inwestycja ma zapewniony dostęp do sieci ciepłowniczej zgodnie z informacją o technicznej możliwości podłączenia do Ciepła Systemowego planowa</w:t>
      </w:r>
      <w:r>
        <w:rPr>
          <w:color w:val="000000"/>
          <w:szCs w:val="20"/>
          <w:shd w:val="clear" w:color="auto" w:fill="FFFFFF"/>
        </w:rPr>
        <w:t>nej inwestycji nr VECP/HRSR/KM/2025 z dnia 21 lutego 2025 r., wydaną przez VEOLIA ENERGIA ŁÓDŹ S.A.,</w:t>
      </w:r>
    </w:p>
    <w:p w:rsidR="003C1EF4" w:rsidRDefault="00890D6C">
      <w:pPr>
        <w:spacing w:before="120" w:after="120"/>
        <w:ind w:firstLine="51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>b) zapewniono niezbędną minimalną liczbę miejsc parkingowych dla obsługi inwestycji mieszkaniowej nie mniejszą niż minimalny wskaźnik 0,7 m.p. na lokal mie</w:t>
      </w:r>
      <w:r>
        <w:rPr>
          <w:color w:val="000000"/>
          <w:szCs w:val="20"/>
          <w:shd w:val="clear" w:color="auto" w:fill="FFFFFF"/>
        </w:rPr>
        <w:t>szkalny określony dla pozostałej części Strefy Wielkomiejskiej, tj. zastosowano wskaźnik ze specustawy - min. 1,0 m.p. na lokal mieszkalny.</w:t>
      </w:r>
    </w:p>
    <w:p w:rsidR="003C1EF4" w:rsidRDefault="00890D6C">
      <w:pPr>
        <w:spacing w:before="120" w:after="120"/>
        <w:ind w:firstLine="510"/>
        <w:rPr>
          <w:color w:val="000000"/>
          <w:sz w:val="23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>Projektowana inwestycja mieszkaniowa nie została zlokalizowana na terenach podlegających ochronie przed lokalizowani</w:t>
      </w:r>
      <w:r>
        <w:rPr>
          <w:color w:val="000000"/>
          <w:szCs w:val="20"/>
          <w:shd w:val="clear" w:color="auto" w:fill="FFFFFF"/>
        </w:rPr>
        <w:t xml:space="preserve">em lub zabudową na podstawie odrębnych przepisów, a także w granicach otulin form ochrony przyrody, rodzinnych ogrodów działkowych czy obszaru szczególnego zagrożenia powodzią, zgodnie z art. 5 ust. 1 i 2 specustawy. </w:t>
      </w:r>
      <w:r>
        <w:rPr>
          <w:color w:val="000000"/>
          <w:sz w:val="23"/>
          <w:szCs w:val="20"/>
          <w:shd w:val="clear" w:color="auto" w:fill="FFFFFF"/>
        </w:rPr>
        <w:t>Projektowana inwestycja nie jest zloka</w:t>
      </w:r>
      <w:r>
        <w:rPr>
          <w:color w:val="000000"/>
          <w:sz w:val="23"/>
          <w:szCs w:val="20"/>
          <w:shd w:val="clear" w:color="auto" w:fill="FFFFFF"/>
        </w:rPr>
        <w:t>lizowana w odległości, o której mowa w art. 5 ust. 3a specustawy, nie jest także zlokalizowana w granicach Parku Kulturowego.</w:t>
      </w:r>
    </w:p>
    <w:p w:rsidR="003C1EF4" w:rsidRDefault="00890D6C">
      <w:pPr>
        <w:spacing w:before="120" w:after="120"/>
        <w:ind w:firstLine="51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>Zgodnie z art. 7 ust. 4 specustawy, przy podejmowaniu niniejszej uchwały Rada Miejska w Łodzi brała pod uwagę stan zaspokojenia po</w:t>
      </w:r>
      <w:r>
        <w:rPr>
          <w:color w:val="000000"/>
          <w:szCs w:val="20"/>
          <w:shd w:val="clear" w:color="auto" w:fill="FFFFFF"/>
        </w:rPr>
        <w:t>trzeb mieszkaniowych na terenie gminy oraz potrzeby i możliwości rozwoju gminy wynikające z ustaleń studium uwarunkowań i kierunków zagospodarowania przestrzennego gminy.</w:t>
      </w:r>
    </w:p>
    <w:p w:rsidR="003C1EF4" w:rsidRDefault="00890D6C">
      <w:pPr>
        <w:spacing w:before="120" w:after="120"/>
        <w:ind w:firstLine="51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</w:rPr>
        <w:t xml:space="preserve">Obowiązujące Studium, w perspektywie do 2030 roku, wskazuje na niewystarczający stan </w:t>
      </w:r>
      <w:r>
        <w:rPr>
          <w:color w:val="000000"/>
          <w:szCs w:val="20"/>
          <w:shd w:val="clear" w:color="auto" w:fill="FFFFFF"/>
        </w:rPr>
        <w:t>zaspokojenia potrzeb mieszkaniowych i przewiduje wzrost potrzeb mieszkaniowych zarówno w sensie ilościowym jak i jakościowym. Wzrost ten został wyrażony jako wzrost powierzchni użytkowej mieszkania przypadającej na jednego mieszkańca do 33 m</w:t>
      </w:r>
      <w:r>
        <w:rPr>
          <w:color w:val="000000"/>
          <w:szCs w:val="20"/>
          <w:shd w:val="clear" w:color="auto" w:fill="FFFFFF"/>
          <w:vertAlign w:val="superscript"/>
        </w:rPr>
        <w:t xml:space="preserve">2 </w:t>
      </w:r>
      <w:r>
        <w:rPr>
          <w:color w:val="000000"/>
          <w:szCs w:val="20"/>
          <w:shd w:val="clear" w:color="auto" w:fill="FFFFFF"/>
        </w:rPr>
        <w:t>(wg GUS w rok</w:t>
      </w:r>
      <w:r>
        <w:rPr>
          <w:color w:val="000000"/>
          <w:szCs w:val="20"/>
          <w:shd w:val="clear" w:color="auto" w:fill="FFFFFF"/>
        </w:rPr>
        <w:t>u 2020 wskaźnik wynosił 30 m</w:t>
      </w:r>
      <w:r>
        <w:rPr>
          <w:color w:val="000000"/>
          <w:szCs w:val="20"/>
          <w:shd w:val="clear" w:color="auto" w:fill="FFFFFF"/>
          <w:vertAlign w:val="superscript"/>
        </w:rPr>
        <w:t>2</w:t>
      </w:r>
      <w:r>
        <w:rPr>
          <w:color w:val="000000"/>
          <w:szCs w:val="20"/>
          <w:shd w:val="clear" w:color="auto" w:fill="FFFFFF"/>
        </w:rPr>
        <w:t>) oraz zapotrzebowaniu na nową zabudowę na poziomie 2,6 mln m</w:t>
      </w:r>
      <w:r>
        <w:rPr>
          <w:color w:val="000000"/>
          <w:szCs w:val="20"/>
          <w:shd w:val="clear" w:color="auto" w:fill="FFFFFF"/>
          <w:vertAlign w:val="superscript"/>
        </w:rPr>
        <w:t xml:space="preserve">2 </w:t>
      </w:r>
      <w:r>
        <w:rPr>
          <w:color w:val="000000"/>
          <w:szCs w:val="20"/>
          <w:shd w:val="clear" w:color="auto" w:fill="FFFFFF"/>
        </w:rPr>
        <w:t>powierzchni użytkowej (średnio rocznie około 217 tys m</w:t>
      </w:r>
      <w:r>
        <w:rPr>
          <w:color w:val="000000"/>
          <w:szCs w:val="20"/>
          <w:shd w:val="clear" w:color="auto" w:fill="FFFFFF"/>
          <w:vertAlign w:val="superscript"/>
        </w:rPr>
        <w:t>2</w:t>
      </w:r>
      <w:r>
        <w:rPr>
          <w:color w:val="000000"/>
          <w:szCs w:val="20"/>
          <w:shd w:val="clear" w:color="auto" w:fill="FFFFFF"/>
        </w:rPr>
        <w:t>). Wg danych GUS w roku 2020 w mieście Łodzi oddano do użytkowania 5768 mieszkań, o przeciętnej powierzchni u</w:t>
      </w:r>
      <w:r>
        <w:rPr>
          <w:color w:val="000000"/>
          <w:szCs w:val="20"/>
          <w:shd w:val="clear" w:color="auto" w:fill="FFFFFF"/>
        </w:rPr>
        <w:t>żytkowej 61,6 m</w:t>
      </w:r>
      <w:r>
        <w:rPr>
          <w:color w:val="000000"/>
          <w:szCs w:val="20"/>
          <w:shd w:val="clear" w:color="auto" w:fill="FFFFFF"/>
          <w:vertAlign w:val="superscript"/>
        </w:rPr>
        <w:t>2</w:t>
      </w:r>
      <w:r>
        <w:rPr>
          <w:color w:val="000000"/>
          <w:szCs w:val="20"/>
          <w:shd w:val="clear" w:color="auto" w:fill="FFFFFF"/>
        </w:rPr>
        <w:t>, czyli około 350 tys m</w:t>
      </w:r>
      <w:r>
        <w:rPr>
          <w:color w:val="000000"/>
          <w:szCs w:val="20"/>
          <w:shd w:val="clear" w:color="auto" w:fill="FFFFFF"/>
          <w:vertAlign w:val="superscript"/>
        </w:rPr>
        <w:t xml:space="preserve">2 </w:t>
      </w:r>
      <w:r>
        <w:rPr>
          <w:color w:val="000000"/>
          <w:szCs w:val="20"/>
          <w:shd w:val="clear" w:color="auto" w:fill="FFFFFF"/>
        </w:rPr>
        <w:t>powierzchni użytkowej mieszkań. Działania Miasta ukierunkowane powinny być przede wszystkim na dążenie do podnoszenia standardów mieszkaniowych przy jednoczesnym poszerzaniu istniejącej oferty mieszkaniowej, co przy</w:t>
      </w:r>
      <w:r>
        <w:rPr>
          <w:color w:val="000000"/>
          <w:szCs w:val="20"/>
          <w:shd w:val="clear" w:color="auto" w:fill="FFFFFF"/>
        </w:rPr>
        <w:t>czyni się do zwiększenia konkurencyjności łódzkiego rynku mieszkaniowego. I w tym sensie wnioskowana lokalizacja odpowiada warunkom wskazanym w art. 7 ust. 4 specustawy.</w:t>
      </w:r>
    </w:p>
    <w:sectPr w:rsidR="003C1EF4">
      <w:footerReference w:type="default" r:id="rId21"/>
      <w:pgSz w:w="11907" w:h="16839" w:code="9"/>
      <w:pgMar w:top="1440" w:right="862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0D6C" w:rsidRDefault="00890D6C">
      <w:r>
        <w:separator/>
      </w:r>
    </w:p>
  </w:endnote>
  <w:endnote w:type="continuationSeparator" w:id="0">
    <w:p w:rsidR="00890D6C" w:rsidRDefault="00890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 New Roman Greek"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3C1EF4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3C1EF4" w:rsidRDefault="00890D6C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3C1EF4" w:rsidRDefault="00890D6C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BF3E5B">
            <w:rPr>
              <w:sz w:val="18"/>
            </w:rPr>
            <w:fldChar w:fldCharType="separate"/>
          </w:r>
          <w:r w:rsidR="00BF3E5B">
            <w:rPr>
              <w:noProof/>
              <w:sz w:val="18"/>
            </w:rPr>
            <w:t>4</w:t>
          </w:r>
          <w:r>
            <w:rPr>
              <w:sz w:val="18"/>
            </w:rPr>
            <w:fldChar w:fldCharType="end"/>
          </w:r>
        </w:p>
      </w:tc>
    </w:tr>
  </w:tbl>
  <w:p w:rsidR="003C1EF4" w:rsidRDefault="003C1EF4">
    <w:pPr>
      <w:rPr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3C1EF4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3C1EF4" w:rsidRDefault="00890D6C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3C1EF4" w:rsidRDefault="00890D6C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BF3E5B">
            <w:rPr>
              <w:sz w:val="18"/>
            </w:rPr>
            <w:fldChar w:fldCharType="separate"/>
          </w:r>
          <w:r w:rsidR="00BF3E5B">
            <w:rPr>
              <w:noProof/>
              <w:sz w:val="18"/>
            </w:rPr>
            <w:t>2</w:t>
          </w:r>
          <w:r>
            <w:rPr>
              <w:sz w:val="18"/>
            </w:rPr>
            <w:fldChar w:fldCharType="end"/>
          </w:r>
        </w:p>
      </w:tc>
    </w:tr>
  </w:tbl>
  <w:p w:rsidR="003C1EF4" w:rsidRDefault="003C1EF4">
    <w:pPr>
      <w:rPr>
        <w:sz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3C1EF4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3C1EF4" w:rsidRDefault="00890D6C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3C1EF4" w:rsidRDefault="00890D6C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BF3E5B">
            <w:rPr>
              <w:sz w:val="18"/>
            </w:rPr>
            <w:fldChar w:fldCharType="separate"/>
          </w:r>
          <w:r w:rsidR="00BF3E5B">
            <w:rPr>
              <w:noProof/>
              <w:sz w:val="18"/>
            </w:rPr>
            <w:t>3</w:t>
          </w:r>
          <w:r>
            <w:rPr>
              <w:sz w:val="18"/>
            </w:rPr>
            <w:fldChar w:fldCharType="end"/>
          </w:r>
        </w:p>
      </w:tc>
    </w:tr>
  </w:tbl>
  <w:p w:rsidR="003C1EF4" w:rsidRDefault="003C1EF4">
    <w:pPr>
      <w:rPr>
        <w:sz w:val="18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403"/>
      <w:gridCol w:w="3202"/>
    </w:tblGrid>
    <w:tr w:rsidR="003C1EF4">
      <w:tc>
        <w:tcPr>
          <w:tcW w:w="6403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3C1EF4" w:rsidRDefault="00890D6C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202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3C1EF4" w:rsidRDefault="00890D6C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BF3E5B">
            <w:rPr>
              <w:sz w:val="18"/>
            </w:rPr>
            <w:fldChar w:fldCharType="separate"/>
          </w:r>
          <w:r w:rsidR="00BF3E5B">
            <w:rPr>
              <w:noProof/>
              <w:sz w:val="18"/>
            </w:rPr>
            <w:t>8</w:t>
          </w:r>
          <w:r>
            <w:rPr>
              <w:sz w:val="18"/>
            </w:rPr>
            <w:fldChar w:fldCharType="end"/>
          </w:r>
        </w:p>
      </w:tc>
    </w:tr>
  </w:tbl>
  <w:p w:rsidR="003C1EF4" w:rsidRDefault="003C1EF4">
    <w:pPr>
      <w:rPr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0D6C" w:rsidRDefault="00890D6C">
      <w:r>
        <w:separator/>
      </w:r>
    </w:p>
  </w:footnote>
  <w:footnote w:type="continuationSeparator" w:id="0">
    <w:p w:rsidR="00890D6C" w:rsidRDefault="00890D6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B3E"/>
    <w:rsid w:val="003C1EF4"/>
    <w:rsid w:val="00890D6C"/>
    <w:rsid w:val="00A77B3E"/>
    <w:rsid w:val="00BF3E5B"/>
    <w:rsid w:val="00CA2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9A0A77E0-54C2-452A-AFF1-A23DCAC03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jc w:val="both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Zalacznik57F0F6F3-3EF9-4EF3-B57D-30C0380C90CC.png" TargetMode="External"/><Relationship Id="rId13" Type="http://schemas.openxmlformats.org/officeDocument/2006/relationships/footer" Target="footer2.xml"/><Relationship Id="rId18" Type="http://schemas.openxmlformats.org/officeDocument/2006/relationships/image" Target="media/image6.png"/><Relationship Id="rId3" Type="http://schemas.openxmlformats.org/officeDocument/2006/relationships/webSettings" Target="webSettings.xml"/><Relationship Id="rId21" Type="http://schemas.openxmlformats.org/officeDocument/2006/relationships/footer" Target="footer4.xml"/><Relationship Id="rId7" Type="http://schemas.openxmlformats.org/officeDocument/2006/relationships/image" Target="media/image1.png"/><Relationship Id="rId12" Type="http://schemas.openxmlformats.org/officeDocument/2006/relationships/image" Target="Zalacznik77C18620-CFA0-4253-84FF-D10BBAFBCF73.png" TargetMode="External"/><Relationship Id="rId17" Type="http://schemas.openxmlformats.org/officeDocument/2006/relationships/image" Target="Zalacznik5287CCF0-3E51-43AB-9973-EFA8542887C9.pn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image" Target="Zalacznik89432785-D86A-4DE2-BE5F-8CAF06C52BDA.png" TargetMode="External"/><Relationship Id="rId23" Type="http://schemas.openxmlformats.org/officeDocument/2006/relationships/theme" Target="theme/theme1.xml"/><Relationship Id="rId10" Type="http://schemas.openxmlformats.org/officeDocument/2006/relationships/image" Target="Zalacznik63355FE4-60AB-4FF1-A76D-2A38C22A8C7B.png" TargetMode="External"/><Relationship Id="rId19" Type="http://schemas.openxmlformats.org/officeDocument/2006/relationships/image" Target="Zalacznik88370F38-FE6F-4ED6-9CA0-DCE38802F6CB.pn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3820</Words>
  <Characters>22920</Characters>
  <Application>Microsoft Office Word</Application>
  <DocSecurity>0</DocSecurity>
  <Lines>191</Lines>
  <Paragraphs>53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Uchwała</vt:lpstr>
      <vt:lpstr/>
    </vt:vector>
  </TitlesOfParts>
  <Company>Rada Miejska w Łodzi</Company>
  <LinksUpToDate>false</LinksUpToDate>
  <CharactersWithSpaces>26687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</dc:title>
  <dc:subject>w sprawie ustalenia lokalizacji inwestycji mieszkaniowej przy ulicy Nowej 29/31 i inwestycji towarzyszących w rejonie ulicy Nowej w Łodzi.</dc:subject>
  <dc:creator>ksudaj</dc:creator>
  <cp:lastModifiedBy>Katarzyna Sudaj</cp:lastModifiedBy>
  <cp:revision>2</cp:revision>
  <dcterms:created xsi:type="dcterms:W3CDTF">2025-08-12T13:28:00Z</dcterms:created>
  <dcterms:modified xsi:type="dcterms:W3CDTF">2025-08-12T13:28:00Z</dcterms:modified>
  <cp:category>Akt prawny</cp:category>
</cp:coreProperties>
</file>