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6965C1">
      <w:pPr>
        <w:ind w:left="6236"/>
        <w:jc w:val="left"/>
      </w:pPr>
      <w:r>
        <w:t>Druk Nr</w:t>
      </w:r>
      <w:r w:rsidR="0026393C">
        <w:t xml:space="preserve">   169/2025</w:t>
      </w:r>
    </w:p>
    <w:p w:rsidR="00A77B3E" w:rsidRDefault="006965C1">
      <w:pPr>
        <w:ind w:left="6236"/>
        <w:jc w:val="left"/>
      </w:pPr>
      <w:r>
        <w:t>Projekt z dnia</w:t>
      </w:r>
      <w:r w:rsidR="0026393C">
        <w:t xml:space="preserve">  12.08.2025 r.</w:t>
      </w:r>
    </w:p>
    <w:p w:rsidR="00A77B3E" w:rsidRDefault="00A77B3E">
      <w:pPr>
        <w:ind w:left="6236"/>
        <w:jc w:val="left"/>
      </w:pPr>
    </w:p>
    <w:p w:rsidR="00A77B3E" w:rsidRDefault="006965C1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6965C1">
      <w:pPr>
        <w:spacing w:before="240" w:after="240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6965C1">
      <w:pPr>
        <w:keepNext/>
        <w:spacing w:after="480"/>
      </w:pPr>
      <w:r>
        <w:rPr>
          <w:b/>
        </w:rPr>
        <w:t xml:space="preserve">w sprawie odmowy ustalenia lokalizacji  inwestycji mieszkaniowej przy ulicy Nowej 29/31 i inwestycji towarzyszących w rejonie ulicy Nowej </w:t>
      </w:r>
      <w:r>
        <w:rPr>
          <w:b/>
        </w:rPr>
        <w:t>w Łodzi.</w:t>
      </w:r>
    </w:p>
    <w:p w:rsidR="00A77B3E" w:rsidRDefault="006965C1">
      <w:pPr>
        <w:keepLines/>
        <w:spacing w:before="120" w:after="120"/>
        <w:ind w:firstLine="567"/>
        <w:jc w:val="both"/>
      </w:pPr>
      <w:r>
        <w:t>Na podstawie art. 18 ust. 2 pkt 15 ustawy z dnia 8 marca 1990 r. o samorządzie gminnym (Dz. U. z 2024 r. poz. 1465, 1572, 1907 i 1940) oraz art. 7 ust. 4 ustawy z dnia 5 lipca 2018 r. o ułatwieniach w przygotowaniu i realizacji inwestycji mieszkan</w:t>
      </w:r>
      <w:r>
        <w:t>iowych oraz inwestycji towarzyszących (Dz. U. z 2024 r. poz. 195 oraz z 2025 r. poz. 527), Rada Miejska w Łodzi</w:t>
      </w:r>
    </w:p>
    <w:p w:rsidR="00A77B3E" w:rsidRDefault="006965C1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6965C1">
      <w:pPr>
        <w:keepLines/>
        <w:spacing w:before="240" w:after="120"/>
        <w:ind w:firstLine="567"/>
        <w:jc w:val="both"/>
      </w:pPr>
      <w:r>
        <w:t>§ 1. </w:t>
      </w:r>
      <w:r>
        <w:t>Odmawia się wnioskodawcy Nowa 29/31 Sp. z o.o. z siedzibą w Łodzi  ustalenia lokalizacji inwestycji mieszkaniowej po</w:t>
      </w:r>
      <w:r>
        <w:t>legającej na budowie budynku mieszkalnego wielorodzinnego wraz z zagospodarowaniem terenu nieruchomości i niezbędnymi urządzeniami budowlanymi z nim związanymi na działkach nr: 268/9, 268/10 i 268/11 w obrębie W-24 przy ulicy Nowej 29/31 w Łodzi i ustaleni</w:t>
      </w:r>
      <w:r>
        <w:t>a lokalizacji inwestycji towarzyszących polegających na przebudowie sieci i instalacji podziemnych, budowie przyłączy na części działki nr 310/19 i działce nr 310/13 w obrębie W-24 w rejonie ulicy Nowej w Łodzi.</w:t>
      </w:r>
    </w:p>
    <w:p w:rsidR="00A77B3E" w:rsidRDefault="006965C1">
      <w:pPr>
        <w:keepLines/>
        <w:spacing w:before="240" w:after="120"/>
        <w:ind w:firstLine="567"/>
        <w:jc w:val="both"/>
      </w:pPr>
      <w:r>
        <w:t>§ 2. </w:t>
      </w:r>
      <w:r>
        <w:t>Zgodnie z art. 15 ustawy z dnia 5 lipca</w:t>
      </w:r>
      <w:r>
        <w:t xml:space="preserve"> 2018 r. o ułatwieniach w przygotowaniu              i realizacji inwestycji mieszkaniowych oraz inwestycji towarzyszących, skarga na uchwałę          w trybie art. 101 ustawy z dnia 8 marca 1990 r. o samorządzie gminnym, może być wniesiona w terminie 30 d</w:t>
      </w:r>
      <w:r>
        <w:t>ni od dnia doręczenia tej uchwały inwestorowi.</w:t>
      </w:r>
    </w:p>
    <w:p w:rsidR="00A77B3E" w:rsidRDefault="006965C1">
      <w:pPr>
        <w:keepLines/>
        <w:spacing w:before="240" w:after="120"/>
        <w:ind w:firstLine="567"/>
        <w:jc w:val="both"/>
      </w:pPr>
      <w:r>
        <w:t>§ 3. </w:t>
      </w:r>
      <w:r>
        <w:t>Wykonanie uchwały powierza się Prezydentowi Miasta Łodzi.</w:t>
      </w:r>
    </w:p>
    <w:p w:rsidR="00A77B3E" w:rsidRDefault="006965C1">
      <w:pPr>
        <w:keepNext/>
        <w:keepLines/>
        <w:spacing w:before="240" w:after="120"/>
        <w:ind w:firstLine="567"/>
        <w:jc w:val="both"/>
      </w:pPr>
      <w:r>
        <w:t>§ 4. </w:t>
      </w:r>
      <w: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383E9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E9E" w:rsidRDefault="00383E9E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E9E" w:rsidRDefault="006965C1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6965C1" w:rsidP="0026393C">
      <w:pPr>
        <w:ind w:left="283" w:firstLine="227"/>
        <w:jc w:val="left"/>
      </w:pPr>
      <w:r>
        <w:t>Projektodawcą jest</w:t>
      </w:r>
    </w:p>
    <w:p w:rsidR="00A77B3E" w:rsidRDefault="006965C1" w:rsidP="0026393C">
      <w:pPr>
        <w:ind w:left="283" w:firstLine="227"/>
        <w:jc w:val="left"/>
        <w:sectPr w:rsidR="00A77B3E">
          <w:footerReference w:type="default" r:id="rId6"/>
          <w:endnotePr>
            <w:numFmt w:val="decimal"/>
          </w:endnotePr>
          <w:pgSz w:w="11906" w:h="16838"/>
          <w:pgMar w:top="850" w:right="1417" w:bottom="1417" w:left="1417" w:header="708" w:footer="708" w:gutter="0"/>
          <w:cols w:space="708"/>
          <w:docGrid w:linePitch="360"/>
        </w:sectPr>
      </w:pPr>
      <w:r>
        <w:t>Prezydent</w:t>
      </w:r>
      <w:bookmarkStart w:id="0" w:name="_GoBack"/>
      <w:bookmarkEnd w:id="0"/>
      <w:r>
        <w:t xml:space="preserve"> Miasta Łodzi</w:t>
      </w:r>
    </w:p>
    <w:p w:rsidR="00383E9E" w:rsidRDefault="006965C1">
      <w:pPr>
        <w:rPr>
          <w:color w:val="000000"/>
          <w:szCs w:val="20"/>
        </w:rPr>
      </w:pPr>
      <w:r>
        <w:rPr>
          <w:b/>
          <w:color w:val="000000"/>
          <w:szCs w:val="20"/>
        </w:rPr>
        <w:lastRenderedPageBreak/>
        <w:t>Uzasadnienie</w:t>
      </w:r>
    </w:p>
    <w:p w:rsidR="00383E9E" w:rsidRDefault="006965C1">
      <w:pPr>
        <w:keepLines/>
        <w:spacing w:before="120" w:after="120"/>
        <w:ind w:firstLine="435"/>
        <w:jc w:val="both"/>
        <w:rPr>
          <w:szCs w:val="20"/>
        </w:rPr>
      </w:pPr>
      <w:r>
        <w:rPr>
          <w:szCs w:val="20"/>
        </w:rPr>
        <w:t xml:space="preserve">Inwestor Nowa 29/31 Sp. z o.o. z siedzibą w Łodzi pismem z dnia 9 czerwca 2025 r.  wystąpił do Rady Miejskiej w </w:t>
      </w:r>
      <w:r>
        <w:rPr>
          <w:szCs w:val="20"/>
        </w:rPr>
        <w:t>Łodzi, za pośrednictwem Prezydenta Miasta Łodzi - Biura Architekta Miasta w Departamencie Planowania i Rozwoju Gospodarczego Urzędu Miasta Łodzi, o ustalenie lokalizacji inwestycji mieszkaniowej polegającej na budowie budynku mieszkalnego wielorodzinnego w</w:t>
      </w:r>
      <w:r>
        <w:rPr>
          <w:szCs w:val="20"/>
        </w:rPr>
        <w:t>raz z zagospodarowaniem terenu nieruchomości i niezbędnymi urządzeniami budowlanymi z nim związanymi na działkach nr: 268/9, 268/10 i 268/11 w obrębie W-24 przy ulicy Nowej 29/31 w Łodzi oraz o ustalenie lokalizacji inwestycji towarzyszących polegających n</w:t>
      </w:r>
      <w:r>
        <w:rPr>
          <w:szCs w:val="20"/>
        </w:rPr>
        <w:t>a przebudowie sieci i instalacji podziemnych, budowie przyłączy na części działki nr 310/19 i na działce nr 310/13 w obrębie W-24 w rejonie ulicy Nowej</w:t>
      </w:r>
      <w:r>
        <w:rPr>
          <w:b/>
          <w:szCs w:val="20"/>
        </w:rPr>
        <w:t xml:space="preserve"> </w:t>
      </w:r>
      <w:r>
        <w:rPr>
          <w:szCs w:val="20"/>
        </w:rPr>
        <w:t>w Łodzi, na podstawie art. 7 ust. 1 i 6 ustawy z dnia 5 lipca 2018 r. o ułatwieniach w przygotowaniu i r</w:t>
      </w:r>
      <w:r>
        <w:rPr>
          <w:szCs w:val="20"/>
        </w:rPr>
        <w:t>ealizacji inwestycji mieszkaniowych i inwestycji towarzyszących (Dz. </w:t>
      </w:r>
      <w:r>
        <w:rPr>
          <w:szCs w:val="20"/>
          <w:shd w:val="clear" w:color="auto" w:fill="FFFFFF"/>
        </w:rPr>
        <w:t xml:space="preserve">U. z 2024 r. poz. 195 </w:t>
      </w:r>
      <w:r>
        <w:rPr>
          <w:color w:val="000000"/>
          <w:szCs w:val="20"/>
          <w:u w:color="000000"/>
        </w:rPr>
        <w:t>oraz z 2025 r. poz. 527</w:t>
      </w:r>
      <w:r>
        <w:rPr>
          <w:szCs w:val="20"/>
          <w:shd w:val="clear" w:color="auto" w:fill="FFFFFF"/>
        </w:rPr>
        <w:t>), zwanej dalej specustawą. Wniosek został uzupełniony przy pismach z dnia 25 i 26 marca 2025 r.</w:t>
      </w:r>
    </w:p>
    <w:p w:rsidR="00383E9E" w:rsidRDefault="006965C1">
      <w:pPr>
        <w:keepLines/>
        <w:spacing w:before="120" w:after="120"/>
        <w:ind w:firstLine="435"/>
        <w:jc w:val="both"/>
        <w:rPr>
          <w:szCs w:val="20"/>
        </w:rPr>
      </w:pPr>
      <w:r>
        <w:rPr>
          <w:szCs w:val="20"/>
          <w:shd w:val="clear" w:color="auto" w:fill="FFFFFF"/>
        </w:rPr>
        <w:t>W sprawie zastosowanie mają przepisy specusta</w:t>
      </w:r>
      <w:r>
        <w:rPr>
          <w:szCs w:val="20"/>
          <w:shd w:val="clear" w:color="auto" w:fill="FFFFFF"/>
        </w:rPr>
        <w:t>wy w brzmieniu obowiązującym przed 24 września 2023 r. z wyjątkiem art. 2 pkt 3, 7 i 8, art. 7 ust. 7 pkt 7a, art. 17 ust. 4a-4d zgodnie z art. 70 ust. 2 ustawy z dnia 7 lipca 2023 r. o zmianie ustawy o planowaniu i zagospodarowaniu przestrzennym oraz niek</w:t>
      </w:r>
      <w:r>
        <w:rPr>
          <w:szCs w:val="20"/>
          <w:shd w:val="clear" w:color="auto" w:fill="FFFFFF"/>
        </w:rPr>
        <w:t>tórych innych ustaw (Dz. U. poz. 1688, z 2024 r. poz. 1824 oraz z 2025 r. poz. 527).</w:t>
      </w:r>
    </w:p>
    <w:p w:rsidR="00383E9E" w:rsidRDefault="006965C1">
      <w:pPr>
        <w:spacing w:before="120" w:after="120"/>
        <w:ind w:firstLine="435"/>
        <w:jc w:val="both"/>
        <w:rPr>
          <w:szCs w:val="20"/>
        </w:rPr>
      </w:pPr>
      <w:r>
        <w:rPr>
          <w:szCs w:val="20"/>
          <w:shd w:val="clear" w:color="auto" w:fill="FFFFFF"/>
        </w:rPr>
        <w:t>Po weryfikacji wniosku stwierdzono, ż</w:t>
      </w:r>
      <w:r>
        <w:rPr>
          <w:szCs w:val="20"/>
          <w:shd w:val="clear" w:color="auto" w:fill="FFFFFF"/>
          <w:lang w:val="nl-NL" w:eastAsia="nl-NL" w:bidi="nl-NL"/>
        </w:rPr>
        <w:t>e spe</w:t>
      </w:r>
      <w:proofErr w:type="spellStart"/>
      <w:r>
        <w:rPr>
          <w:szCs w:val="20"/>
          <w:shd w:val="clear" w:color="auto" w:fill="FFFFFF"/>
        </w:rPr>
        <w:t>łnia</w:t>
      </w:r>
      <w:proofErr w:type="spellEnd"/>
      <w:r>
        <w:rPr>
          <w:szCs w:val="20"/>
          <w:shd w:val="clear" w:color="auto" w:fill="FFFFFF"/>
        </w:rPr>
        <w:t xml:space="preserve"> on wymogi dotyczące kompletności wniosku </w:t>
      </w:r>
      <w:proofErr w:type="spellStart"/>
      <w:r>
        <w:rPr>
          <w:szCs w:val="20"/>
          <w:shd w:val="clear" w:color="auto" w:fill="FFFFFF"/>
        </w:rPr>
        <w:t>okreś</w:t>
      </w:r>
      <w:proofErr w:type="spellEnd"/>
      <w:r>
        <w:rPr>
          <w:szCs w:val="20"/>
          <w:shd w:val="clear" w:color="auto" w:fill="FFFFFF"/>
          <w:lang w:val="en-US" w:eastAsia="en-US" w:bidi="en-US"/>
        </w:rPr>
        <w:t>lone w</w:t>
      </w:r>
      <w:r>
        <w:rPr>
          <w:szCs w:val="20"/>
          <w:shd w:val="clear" w:color="auto" w:fill="FFFFFF"/>
        </w:rPr>
        <w:t xml:space="preserve"> art. 7 ust. 7 specustawy. We wniosku określono granice terenu objętego </w:t>
      </w:r>
      <w:r>
        <w:rPr>
          <w:szCs w:val="20"/>
          <w:shd w:val="clear" w:color="auto" w:fill="FFFFFF"/>
        </w:rPr>
        <w:t xml:space="preserve">wnioskiem, przedstawiając je na kopii mapy zasadniczej. Określono planowaną minimalną i maksymalną powierzchnię użytkową mieszkań wynoszącą od </w:t>
      </w:r>
      <w:r>
        <w:rPr>
          <w:szCs w:val="20"/>
        </w:rPr>
        <w:t>3 800 m</w:t>
      </w:r>
      <w:r>
        <w:rPr>
          <w:szCs w:val="20"/>
          <w:vertAlign w:val="superscript"/>
        </w:rPr>
        <w:t>2</w:t>
      </w:r>
      <w:r>
        <w:rPr>
          <w:szCs w:val="20"/>
        </w:rPr>
        <w:t xml:space="preserve"> do 4 900 m</w:t>
      </w:r>
      <w:r>
        <w:rPr>
          <w:szCs w:val="20"/>
          <w:vertAlign w:val="superscript"/>
        </w:rPr>
        <w:t>2</w:t>
      </w:r>
      <w:r>
        <w:rPr>
          <w:szCs w:val="20"/>
          <w:shd w:val="clear" w:color="auto" w:fill="FFFFFF"/>
        </w:rPr>
        <w:t xml:space="preserve"> oraz planowaną minimalną i maksymalną liczbę mieszkań wynoszącą od 50</w:t>
      </w:r>
      <w:r>
        <w:rPr>
          <w:szCs w:val="20"/>
          <w:shd w:val="clear" w:color="auto" w:fill="FFFFFF"/>
          <w:lang w:val="pt-PT" w:eastAsia="pt-PT" w:bidi="pt-PT"/>
        </w:rPr>
        <w:t xml:space="preserve"> do </w:t>
      </w:r>
      <w:r>
        <w:rPr>
          <w:szCs w:val="20"/>
          <w:shd w:val="clear" w:color="auto" w:fill="FFFFFF"/>
        </w:rPr>
        <w:t xml:space="preserve">112. Wniosek </w:t>
      </w:r>
      <w:r>
        <w:rPr>
          <w:szCs w:val="20"/>
          <w:shd w:val="clear" w:color="auto" w:fill="FFFFFF"/>
        </w:rPr>
        <w:t>obejmuje analizę powiązania inwestycji mieszkaniowej z uzbrojeniem terenu, oraz charakterystykę inwestycji mieszkaniowej. Wnioskodawca wskazał nieruchomości, według katastru nieruchomości oraz księgi wieczystej, na których mają być zlokalizowane obiekty ob</w:t>
      </w:r>
      <w:r>
        <w:rPr>
          <w:szCs w:val="20"/>
          <w:shd w:val="clear" w:color="auto" w:fill="FFFFFF"/>
        </w:rPr>
        <w:t>jęte inwestycją mieszkaniową i inwestycją towarzyszącą oraz, o których mowa w art. 38 ust. 1 specustawy. Wskazano na sprzeczność ze studium uwarunkowań i kierunków zagospodarowania przestrzennego miasta Łodzi oraz udokumentowano, że na terenie planowanej i</w:t>
      </w:r>
      <w:r>
        <w:rPr>
          <w:szCs w:val="20"/>
          <w:shd w:val="clear" w:color="auto" w:fill="FFFFFF"/>
        </w:rPr>
        <w:t xml:space="preserve">nwestycji istnieje budynek biurowy, który umożliwia skorzystanie z wyjątku art. 5 ust. 4 specustawy wskazującego, że warunek niesprzeczności ze studium nie dotyczy terenów, na których jest zlokalizowany budynek biurowy. </w:t>
      </w:r>
      <w:r>
        <w:rPr>
          <w:szCs w:val="20"/>
          <w:shd w:val="clear" w:color="auto" w:fill="FFFFFF"/>
          <w:lang w:val="de-DE" w:eastAsia="de-DE" w:bidi="de-DE"/>
        </w:rPr>
        <w:t>W</w:t>
      </w:r>
      <w:proofErr w:type="spellStart"/>
      <w:r>
        <w:rPr>
          <w:szCs w:val="20"/>
          <w:shd w:val="clear" w:color="auto" w:fill="FFFFFF"/>
        </w:rPr>
        <w:t>ykazano</w:t>
      </w:r>
      <w:proofErr w:type="spellEnd"/>
      <w:r>
        <w:rPr>
          <w:szCs w:val="20"/>
          <w:shd w:val="clear" w:color="auto" w:fill="FFFFFF"/>
        </w:rPr>
        <w:t>, że inwestycja mieszkaniowa</w:t>
      </w:r>
      <w:r>
        <w:rPr>
          <w:szCs w:val="20"/>
          <w:shd w:val="clear" w:color="auto" w:fill="FFFFFF"/>
        </w:rPr>
        <w:t xml:space="preserve"> odpowiada standardom, o których mowa w rozdziale 3 specustawy oraz lokalnym standardom urbanistycznym. Do wniosku załączono koncepcję urbanistyczno-architektoniczną, sporządzoną przez osobę wpisaną na listę izby samorządu zawodowego architektów posiadając</w:t>
      </w:r>
      <w:r>
        <w:rPr>
          <w:szCs w:val="20"/>
          <w:shd w:val="clear" w:color="auto" w:fill="FFFFFF"/>
        </w:rPr>
        <w:t>ą uprawnienia budowlane do projektowania bez ograniczeń w </w:t>
      </w:r>
      <w:r>
        <w:rPr>
          <w:szCs w:val="20"/>
        </w:rPr>
        <w:t xml:space="preserve">specjalności </w:t>
      </w:r>
      <w:r>
        <w:rPr>
          <w:szCs w:val="20"/>
          <w:shd w:val="clear" w:color="auto" w:fill="FFFFFF"/>
        </w:rPr>
        <w:t>architektonicznej oraz inne wymagane oświadczenia i zaświadczenia.</w:t>
      </w:r>
    </w:p>
    <w:p w:rsidR="00383E9E" w:rsidRDefault="006965C1">
      <w:pPr>
        <w:keepLines/>
        <w:spacing w:before="120" w:after="120"/>
        <w:ind w:firstLine="340"/>
        <w:jc w:val="both"/>
        <w:rPr>
          <w:szCs w:val="20"/>
        </w:rPr>
      </w:pPr>
      <w:r>
        <w:rPr>
          <w:szCs w:val="20"/>
          <w:shd w:val="clear" w:color="auto" w:fill="FFFFFF"/>
        </w:rPr>
        <w:t xml:space="preserve">  W dniu 11 czerwca 2025 r. wniosek został udostępniony na</w:t>
      </w:r>
      <w:r>
        <w:rPr>
          <w:szCs w:val="20"/>
        </w:rPr>
        <w:t xml:space="preserve"> stronie podmiotowej Biuletynu Informacji Publicznej wraz z </w:t>
      </w:r>
      <w:r>
        <w:rPr>
          <w:szCs w:val="20"/>
        </w:rPr>
        <w:t>informacją o formie, miejscu i terminie składania uwag. Ponadto, w dniu 18 czerwca 2025 r. w lokalnej prasie "Łódź.pl" pojawiła się informacja o wpływie przedmiotowego wniosku wraz z informacją o formie, miejscu i terminie składania uwag. Do dnia sporządze</w:t>
      </w:r>
      <w:r>
        <w:rPr>
          <w:szCs w:val="20"/>
        </w:rPr>
        <w:t>nia niniejszego uzasadnienia projektu uchwały, żadne wnioski i uwagi nie wpłynęły do Biura Architekta Miasta.</w:t>
      </w:r>
    </w:p>
    <w:p w:rsidR="00383E9E" w:rsidRDefault="006965C1">
      <w:pPr>
        <w:keepLines/>
        <w:spacing w:before="120" w:after="120"/>
        <w:ind w:firstLine="340"/>
        <w:jc w:val="both"/>
        <w:rPr>
          <w:szCs w:val="20"/>
        </w:rPr>
      </w:pPr>
      <w:r>
        <w:rPr>
          <w:szCs w:val="20"/>
        </w:rPr>
        <w:t xml:space="preserve"> Pismami z dnia 12 czerwca 2025 r. powiadomiono organy opiniujące i uzgadniające, o których mowa w art. 7 ust. 12 i 14 specustawy, o możliwości pr</w:t>
      </w:r>
      <w:r>
        <w:rPr>
          <w:szCs w:val="20"/>
        </w:rPr>
        <w:t>zedstawienia stanowiska w sprawie w ciągu 21 dni od daty doręczenia wystąpienia.</w:t>
      </w:r>
    </w:p>
    <w:p w:rsidR="00383E9E" w:rsidRDefault="006965C1">
      <w:pPr>
        <w:spacing w:before="120" w:after="120"/>
        <w:ind w:left="283" w:firstLine="227"/>
        <w:jc w:val="both"/>
        <w:rPr>
          <w:szCs w:val="20"/>
        </w:rPr>
      </w:pPr>
      <w:r>
        <w:rPr>
          <w:szCs w:val="20"/>
        </w:rPr>
        <w:t>Następujące organy opiniujące udzieliły odpowiedzi:</w:t>
      </w:r>
    </w:p>
    <w:p w:rsidR="00383E9E" w:rsidRDefault="006965C1">
      <w:pPr>
        <w:spacing w:before="120" w:after="120"/>
        <w:ind w:firstLine="510"/>
        <w:jc w:val="both"/>
        <w:rPr>
          <w:szCs w:val="20"/>
        </w:rPr>
      </w:pPr>
      <w:r>
        <w:rPr>
          <w:rFonts w:ascii="Times New Roman Greek" w:hAnsi="Times New Roman Greek"/>
          <w:szCs w:val="20"/>
        </w:rPr>
        <w:lastRenderedPageBreak/>
        <w:t>― Zarz</w:t>
      </w:r>
      <w:r>
        <w:rPr>
          <w:szCs w:val="20"/>
        </w:rPr>
        <w:t xml:space="preserve">ąd Województwa Łódzkiego, w imieniu którego działa Dyrektor Biura Planowania Przestrzennego Województwa Łódzkiego w </w:t>
      </w:r>
      <w:r>
        <w:rPr>
          <w:szCs w:val="20"/>
        </w:rPr>
        <w:t>Łodzi - pismo z dnia 27 czerwca 2025 r., znak BPPWŁ.ZP.405.6.2025, informują</w:t>
      </w:r>
      <w:r>
        <w:rPr>
          <w:szCs w:val="20"/>
          <w:lang w:val="it-IT" w:eastAsia="it-IT" w:bidi="it-IT"/>
        </w:rPr>
        <w:t>c</w:t>
      </w:r>
      <w:r>
        <w:rPr>
          <w:szCs w:val="20"/>
        </w:rPr>
        <w:t>e</w:t>
      </w:r>
      <w:r>
        <w:rPr>
          <w:szCs w:val="20"/>
          <w:lang w:val="it-IT" w:eastAsia="it-IT" w:bidi="it-IT"/>
        </w:rPr>
        <w:t xml:space="preserve"> o</w:t>
      </w:r>
      <w:r>
        <w:rPr>
          <w:szCs w:val="20"/>
        </w:rPr>
        <w:t> wejściu w życie dnia 1 lipca 2025 r. Uchwały Nr XIII/150/25 Sejmiku Województwa Łódzkiego z dnia 15 kwietnia 2025 r. w sprawie uchwalenia audytu krajobrazowego Województwa Łód</w:t>
      </w:r>
      <w:r>
        <w:rPr>
          <w:szCs w:val="20"/>
        </w:rPr>
        <w:t>zkiego oraz objęcia obszaru inwestycji granicami krajobrazu priorytetowego 10-318.19-169 / Łódź - krajobraz wielkomiejski;</w:t>
      </w:r>
    </w:p>
    <w:p w:rsidR="00383E9E" w:rsidRDefault="006965C1">
      <w:pPr>
        <w:spacing w:before="120" w:after="120"/>
        <w:ind w:firstLine="510"/>
        <w:jc w:val="both"/>
        <w:rPr>
          <w:szCs w:val="20"/>
        </w:rPr>
      </w:pPr>
      <w:r>
        <w:rPr>
          <w:rFonts w:ascii="Times New Roman Greek" w:hAnsi="Times New Roman Greek"/>
          <w:szCs w:val="20"/>
        </w:rPr>
        <w:t>― Szef Centralnego Wojskowego Centrum Rekrutacji O</w:t>
      </w:r>
      <w:r>
        <w:rPr>
          <w:szCs w:val="20"/>
        </w:rPr>
        <w:t>środek Zamiejscowy w Łodzi - pismo z dnia 17 czerwca 2025 r., znak: CWCR_OZ_Łódź-WW</w:t>
      </w:r>
      <w:r>
        <w:rPr>
          <w:szCs w:val="20"/>
        </w:rPr>
        <w:t>iZ.0732.328.2025, informujące o braku uwag i wniosków do sprawy;</w:t>
      </w:r>
    </w:p>
    <w:p w:rsidR="00383E9E" w:rsidRDefault="006965C1">
      <w:pPr>
        <w:spacing w:before="120" w:after="120"/>
        <w:ind w:firstLine="510"/>
        <w:jc w:val="both"/>
        <w:rPr>
          <w:szCs w:val="20"/>
        </w:rPr>
      </w:pPr>
      <w:r>
        <w:rPr>
          <w:rFonts w:ascii="Times New Roman Greek" w:hAnsi="Times New Roman Greek"/>
          <w:szCs w:val="20"/>
        </w:rPr>
        <w:t>― Miejska Komisja Urbanistyczno-Architektoniczna - negatywna opinia wyra</w:t>
      </w:r>
      <w:r>
        <w:rPr>
          <w:szCs w:val="20"/>
        </w:rPr>
        <w:t xml:space="preserve">żona w uchwale nr 26/XI/2025 z dnia 30 czerwca 2025 r. w związku z: </w:t>
      </w:r>
    </w:p>
    <w:p w:rsidR="00383E9E" w:rsidRDefault="006965C1">
      <w:pPr>
        <w:spacing w:before="120" w:after="120"/>
        <w:ind w:left="855" w:hanging="135"/>
        <w:jc w:val="both"/>
        <w:rPr>
          <w:szCs w:val="20"/>
        </w:rPr>
      </w:pPr>
      <w:r>
        <w:rPr>
          <w:szCs w:val="20"/>
        </w:rPr>
        <w:t>-</w:t>
      </w:r>
      <w:r>
        <w:rPr>
          <w:szCs w:val="20"/>
        </w:rPr>
        <w:tab/>
        <w:t>fundamentalnym zaburzeniem proporcji i kompozycj</w:t>
      </w:r>
      <w:r>
        <w:rPr>
          <w:szCs w:val="20"/>
        </w:rPr>
        <w:t>i bryły,</w:t>
      </w:r>
    </w:p>
    <w:p w:rsidR="00383E9E" w:rsidRDefault="006965C1">
      <w:pPr>
        <w:spacing w:before="120" w:after="120"/>
        <w:ind w:left="855" w:hanging="135"/>
        <w:jc w:val="both"/>
        <w:rPr>
          <w:szCs w:val="20"/>
        </w:rPr>
      </w:pPr>
      <w:r>
        <w:rPr>
          <w:szCs w:val="20"/>
        </w:rPr>
        <w:t>-</w:t>
      </w:r>
      <w:r>
        <w:rPr>
          <w:szCs w:val="20"/>
        </w:rPr>
        <w:tab/>
        <w:t>niespójnością stylistyczną i degradacją ładu przestrzennego,</w:t>
      </w:r>
    </w:p>
    <w:p w:rsidR="00383E9E" w:rsidRDefault="006965C1">
      <w:pPr>
        <w:spacing w:before="120" w:after="120"/>
        <w:ind w:left="855" w:hanging="135"/>
        <w:jc w:val="both"/>
        <w:rPr>
          <w:szCs w:val="20"/>
        </w:rPr>
      </w:pPr>
      <w:r>
        <w:rPr>
          <w:szCs w:val="20"/>
        </w:rPr>
        <w:t>-</w:t>
      </w:r>
      <w:r>
        <w:rPr>
          <w:szCs w:val="20"/>
        </w:rPr>
        <w:tab/>
        <w:t>brakiem poszanowania tożsamości miejsca;</w:t>
      </w:r>
    </w:p>
    <w:p w:rsidR="00383E9E" w:rsidRDefault="006965C1">
      <w:pPr>
        <w:spacing w:before="120" w:after="120"/>
        <w:ind w:firstLine="510"/>
        <w:jc w:val="both"/>
        <w:rPr>
          <w:szCs w:val="20"/>
        </w:rPr>
      </w:pPr>
      <w:r>
        <w:rPr>
          <w:rFonts w:ascii="Times New Roman Greek" w:hAnsi="Times New Roman Greek"/>
          <w:szCs w:val="20"/>
        </w:rPr>
        <w:t xml:space="preserve">― </w:t>
      </w:r>
      <w:r>
        <w:rPr>
          <w:szCs w:val="20"/>
        </w:rPr>
        <w:t xml:space="preserve">Łódzki Państwowy Wojewódzki Inspektor Sanitarny - opinia z 30 czerwca 2025 r.,  znak: </w:t>
      </w:r>
      <w:r>
        <w:rPr>
          <w:szCs w:val="20"/>
          <w:lang w:val="de-DE" w:eastAsia="de-DE" w:bidi="de-DE"/>
        </w:rPr>
        <w:t>NS</w:t>
      </w:r>
      <w:r>
        <w:rPr>
          <w:szCs w:val="20"/>
        </w:rPr>
        <w:t xml:space="preserve"> </w:t>
      </w:r>
      <w:r>
        <w:rPr>
          <w:szCs w:val="20"/>
          <w:lang w:val="de-DE" w:eastAsia="de-DE" w:bidi="de-DE"/>
        </w:rPr>
        <w:t>OZNS.9022.</w:t>
      </w:r>
      <w:r>
        <w:rPr>
          <w:szCs w:val="20"/>
        </w:rPr>
        <w:t>385</w:t>
      </w:r>
      <w:r>
        <w:rPr>
          <w:szCs w:val="20"/>
          <w:lang w:val="de-DE" w:eastAsia="de-DE" w:bidi="de-DE"/>
        </w:rPr>
        <w:t>.202</w:t>
      </w:r>
      <w:r>
        <w:rPr>
          <w:szCs w:val="20"/>
        </w:rPr>
        <w:t>5</w:t>
      </w:r>
      <w:r>
        <w:rPr>
          <w:szCs w:val="20"/>
          <w:lang w:val="de-DE" w:eastAsia="de-DE" w:bidi="de-DE"/>
        </w:rPr>
        <w:t>.</w:t>
      </w:r>
      <w:r>
        <w:rPr>
          <w:szCs w:val="20"/>
        </w:rPr>
        <w:t>SK.</w:t>
      </w:r>
    </w:p>
    <w:p w:rsidR="00383E9E" w:rsidRDefault="006965C1">
      <w:pPr>
        <w:spacing w:before="120" w:after="120"/>
        <w:ind w:firstLine="510"/>
        <w:jc w:val="both"/>
        <w:rPr>
          <w:szCs w:val="20"/>
        </w:rPr>
      </w:pPr>
      <w:r>
        <w:rPr>
          <w:szCs w:val="20"/>
        </w:rPr>
        <w:t>W ustawowym terminie nie wp</w:t>
      </w:r>
      <w:r>
        <w:rPr>
          <w:szCs w:val="20"/>
        </w:rPr>
        <w:t>łynęły ponadto opinie, właściwe według specustawy dla terenu inwestycji:</w:t>
      </w:r>
    </w:p>
    <w:p w:rsidR="00383E9E" w:rsidRDefault="006965C1">
      <w:pPr>
        <w:tabs>
          <w:tab w:val="left" w:pos="855"/>
        </w:tabs>
        <w:spacing w:before="120" w:after="120"/>
        <w:ind w:left="435"/>
        <w:jc w:val="both"/>
        <w:rPr>
          <w:szCs w:val="20"/>
        </w:rPr>
      </w:pPr>
      <w:r>
        <w:rPr>
          <w:rFonts w:ascii="Times New Roman Greek" w:hAnsi="Times New Roman Greek"/>
          <w:szCs w:val="20"/>
        </w:rPr>
        <w:t>―</w:t>
      </w:r>
      <w:r>
        <w:rPr>
          <w:rFonts w:ascii="Times New Roman Greek" w:hAnsi="Times New Roman Greek"/>
          <w:szCs w:val="20"/>
        </w:rPr>
        <w:tab/>
        <w:t xml:space="preserve">Prezydenta Miasta </w:t>
      </w:r>
      <w:r>
        <w:rPr>
          <w:szCs w:val="20"/>
        </w:rPr>
        <w:t xml:space="preserve">Łodzi, w którego imieniu działa Dyrektor Łódzkiego Ośrodka </w:t>
      </w:r>
      <w:r>
        <w:rPr>
          <w:szCs w:val="20"/>
        </w:rPr>
        <w:tab/>
        <w:t>Geodezji;</w:t>
      </w:r>
    </w:p>
    <w:p w:rsidR="00383E9E" w:rsidRDefault="006965C1">
      <w:pPr>
        <w:tabs>
          <w:tab w:val="left" w:pos="855"/>
        </w:tabs>
        <w:spacing w:before="120" w:after="120"/>
        <w:ind w:firstLine="435"/>
        <w:jc w:val="both"/>
        <w:rPr>
          <w:szCs w:val="20"/>
        </w:rPr>
      </w:pPr>
      <w:r>
        <w:rPr>
          <w:rFonts w:ascii="Times New Roman Greek" w:hAnsi="Times New Roman Greek"/>
          <w:szCs w:val="20"/>
        </w:rPr>
        <w:t>―</w:t>
      </w:r>
      <w:r>
        <w:rPr>
          <w:rFonts w:ascii="Times New Roman Greek" w:hAnsi="Times New Roman Greek"/>
          <w:szCs w:val="20"/>
        </w:rPr>
        <w:tab/>
        <w:t>Agencji Bezpiecze</w:t>
      </w:r>
      <w:r>
        <w:rPr>
          <w:szCs w:val="20"/>
        </w:rPr>
        <w:t>ństwa Wewnętrznego / Dyrektora Delegatury w Katowicach;</w:t>
      </w:r>
    </w:p>
    <w:p w:rsidR="00383E9E" w:rsidRDefault="006965C1">
      <w:pPr>
        <w:tabs>
          <w:tab w:val="left" w:pos="855"/>
        </w:tabs>
        <w:spacing w:before="120" w:after="120"/>
        <w:ind w:firstLine="435"/>
        <w:jc w:val="both"/>
        <w:rPr>
          <w:szCs w:val="20"/>
        </w:rPr>
      </w:pPr>
      <w:r>
        <w:rPr>
          <w:rFonts w:ascii="Times New Roman Greek" w:hAnsi="Times New Roman Greek"/>
          <w:szCs w:val="20"/>
        </w:rPr>
        <w:t>―</w:t>
      </w:r>
      <w:r>
        <w:rPr>
          <w:rFonts w:ascii="Times New Roman Greek" w:hAnsi="Times New Roman Greek"/>
          <w:szCs w:val="20"/>
        </w:rPr>
        <w:tab/>
      </w:r>
      <w:r>
        <w:rPr>
          <w:szCs w:val="20"/>
        </w:rPr>
        <w:t>Komendanta Wojew</w:t>
      </w:r>
      <w:r>
        <w:rPr>
          <w:szCs w:val="20"/>
        </w:rPr>
        <w:t>ódzkiego Policji w Łodzi;</w:t>
      </w:r>
    </w:p>
    <w:p w:rsidR="00383E9E" w:rsidRDefault="006965C1">
      <w:pPr>
        <w:tabs>
          <w:tab w:val="left" w:pos="855"/>
        </w:tabs>
        <w:spacing w:before="120" w:after="120"/>
        <w:ind w:firstLine="435"/>
        <w:jc w:val="both"/>
        <w:rPr>
          <w:szCs w:val="20"/>
        </w:rPr>
      </w:pPr>
      <w:r>
        <w:rPr>
          <w:rFonts w:ascii="Times New Roman Greek" w:hAnsi="Times New Roman Greek"/>
          <w:szCs w:val="20"/>
        </w:rPr>
        <w:t>―</w:t>
      </w:r>
      <w:r>
        <w:rPr>
          <w:rFonts w:ascii="Times New Roman Greek" w:hAnsi="Times New Roman Greek"/>
          <w:szCs w:val="20"/>
        </w:rPr>
        <w:tab/>
        <w:t>Komendanta Wojew</w:t>
      </w:r>
      <w:r>
        <w:rPr>
          <w:szCs w:val="20"/>
        </w:rPr>
        <w:t>ódzkiego Państwowej Straży Pożarnej w Łodzi;</w:t>
      </w:r>
    </w:p>
    <w:p w:rsidR="00383E9E" w:rsidRDefault="006965C1">
      <w:pPr>
        <w:tabs>
          <w:tab w:val="left" w:pos="855"/>
        </w:tabs>
        <w:spacing w:before="120" w:after="120"/>
        <w:ind w:left="435"/>
        <w:jc w:val="both"/>
        <w:rPr>
          <w:szCs w:val="20"/>
        </w:rPr>
      </w:pPr>
      <w:r>
        <w:rPr>
          <w:rFonts w:ascii="Times New Roman Greek" w:hAnsi="Times New Roman Greek"/>
          <w:szCs w:val="20"/>
        </w:rPr>
        <w:t>―</w:t>
      </w:r>
      <w:r>
        <w:rPr>
          <w:rFonts w:ascii="Times New Roman Greek" w:hAnsi="Times New Roman Greek"/>
          <w:szCs w:val="20"/>
        </w:rPr>
        <w:tab/>
        <w:t>Komendanta Nadwi</w:t>
      </w:r>
      <w:r>
        <w:rPr>
          <w:szCs w:val="20"/>
        </w:rPr>
        <w:t>ślańskiego Oddział</w:t>
      </w:r>
      <w:r>
        <w:rPr>
          <w:szCs w:val="20"/>
          <w:lang w:val="de-DE" w:eastAsia="de-DE" w:bidi="de-DE"/>
        </w:rPr>
        <w:t xml:space="preserve">u </w:t>
      </w:r>
      <w:proofErr w:type="spellStart"/>
      <w:r>
        <w:rPr>
          <w:szCs w:val="20"/>
          <w:lang w:val="de-DE" w:eastAsia="de-DE" w:bidi="de-DE"/>
        </w:rPr>
        <w:t>Stra</w:t>
      </w:r>
      <w:r>
        <w:rPr>
          <w:szCs w:val="20"/>
        </w:rPr>
        <w:t>ży</w:t>
      </w:r>
      <w:proofErr w:type="spellEnd"/>
      <w:r>
        <w:rPr>
          <w:szCs w:val="20"/>
        </w:rPr>
        <w:t xml:space="preserve"> Granicznej im. Powstania </w:t>
      </w:r>
      <w:r>
        <w:rPr>
          <w:szCs w:val="20"/>
        </w:rPr>
        <w:tab/>
        <w:t>Warszawskiego,</w:t>
      </w:r>
    </w:p>
    <w:p w:rsidR="00383E9E" w:rsidRDefault="006965C1">
      <w:pPr>
        <w:tabs>
          <w:tab w:val="left" w:pos="855"/>
        </w:tabs>
        <w:spacing w:before="120" w:after="120"/>
        <w:ind w:firstLine="435"/>
        <w:jc w:val="both"/>
        <w:rPr>
          <w:szCs w:val="20"/>
        </w:rPr>
      </w:pPr>
      <w:r>
        <w:rPr>
          <w:rFonts w:ascii="Times New Roman Greek" w:hAnsi="Times New Roman Greek"/>
          <w:szCs w:val="20"/>
        </w:rPr>
        <w:t>―</w:t>
      </w:r>
      <w:r>
        <w:rPr>
          <w:rFonts w:ascii="Times New Roman Greek" w:hAnsi="Times New Roman Greek"/>
          <w:szCs w:val="20"/>
        </w:rPr>
        <w:tab/>
        <w:t>Prezesa Urz</w:t>
      </w:r>
      <w:r>
        <w:rPr>
          <w:szCs w:val="20"/>
        </w:rPr>
        <w:t>ędu Lotnictwa Cywilnego,</w:t>
      </w:r>
    </w:p>
    <w:p w:rsidR="00383E9E" w:rsidRDefault="006965C1">
      <w:pPr>
        <w:spacing w:before="120" w:after="120"/>
        <w:ind w:firstLine="510"/>
        <w:jc w:val="both"/>
        <w:rPr>
          <w:szCs w:val="20"/>
        </w:rPr>
      </w:pPr>
      <w:r>
        <w:rPr>
          <w:szCs w:val="20"/>
        </w:rPr>
        <w:t xml:space="preserve">co do których zgodnie </w:t>
      </w:r>
      <w:r>
        <w:rPr>
          <w:szCs w:val="20"/>
        </w:rPr>
        <w:t>z art. 7 ust. 13 specustawy nieprzekazanie opinii w terminie 21 dni od dnia otrzymania powiadomienia uznaje się za brak zastrzeżeń.</w:t>
      </w:r>
    </w:p>
    <w:p w:rsidR="00383E9E" w:rsidRDefault="006965C1">
      <w:pPr>
        <w:spacing w:before="120" w:after="120"/>
        <w:ind w:firstLine="510"/>
        <w:jc w:val="both"/>
        <w:rPr>
          <w:szCs w:val="20"/>
        </w:rPr>
      </w:pPr>
      <w:r>
        <w:rPr>
          <w:szCs w:val="20"/>
        </w:rPr>
        <w:t>Łódzki Wojewódzki Konserwator Zabytków postanowieniem z dnia 2 lipca 2025 r. znak: WUOZ-PP.5151.1465.2025.KP uzgodnił przedm</w:t>
      </w:r>
      <w:r>
        <w:rPr>
          <w:szCs w:val="20"/>
        </w:rPr>
        <w:t>iotowy wniosek w zakresie zgodności z zapisami ustawy z dnia 23 lipca 2003 r. o ochronie zabytków i opiece nad zabytkami (Dz. U. z 2024 r. poz. 1292).</w:t>
      </w:r>
    </w:p>
    <w:p w:rsidR="00383E9E" w:rsidRDefault="006965C1">
      <w:pPr>
        <w:spacing w:before="120" w:after="120"/>
        <w:ind w:firstLine="510"/>
        <w:jc w:val="both"/>
        <w:rPr>
          <w:szCs w:val="20"/>
        </w:rPr>
      </w:pPr>
      <w:r>
        <w:rPr>
          <w:szCs w:val="20"/>
        </w:rPr>
        <w:t>Zarząd Dróg i </w:t>
      </w:r>
      <w:r>
        <w:rPr>
          <w:szCs w:val="20"/>
          <w:lang w:val="pt-PT" w:eastAsia="pt-PT" w:bidi="pt-PT"/>
        </w:rPr>
        <w:t>Transportu</w:t>
      </w:r>
      <w:r>
        <w:rPr>
          <w:szCs w:val="20"/>
        </w:rPr>
        <w:t>, wykonujący zadania zarządcy dróg publicznych, pismem z dnia 1 lipca 2025 r. zna</w:t>
      </w:r>
      <w:r>
        <w:rPr>
          <w:szCs w:val="20"/>
        </w:rPr>
        <w:t>k: ZDiT-UU.40121.5.135.2025, uzgodnił przedłożony wniosek inwestora w zakresie w jakim projektowana inwestycja przebiega przez nieruchomości wchodzące w skład pasa drogowego, przylega do nieruchomości wchodzących w skład pasa drogowego lub powoduje ogranic</w:t>
      </w:r>
      <w:r>
        <w:rPr>
          <w:szCs w:val="20"/>
        </w:rPr>
        <w:t>zenia w sposobie zagospodarowania pasa drogowego, akceptując jednocześnie zaproponowaną obsługę komunikacyjną poprzez dwa istniejące zjazdy z pasa drogowego ul. Nowej.</w:t>
      </w:r>
    </w:p>
    <w:p w:rsidR="00383E9E" w:rsidRDefault="006965C1">
      <w:pPr>
        <w:spacing w:before="120" w:after="120"/>
        <w:ind w:firstLine="510"/>
        <w:jc w:val="both"/>
        <w:rPr>
          <w:szCs w:val="20"/>
        </w:rPr>
      </w:pPr>
      <w:r>
        <w:rPr>
          <w:szCs w:val="20"/>
        </w:rPr>
        <w:t>Do projektu uchwały, zgodnie z art. 7 ust. 17 specustawy, dołączone zostały uzyskane opi</w:t>
      </w:r>
      <w:r>
        <w:rPr>
          <w:szCs w:val="20"/>
        </w:rPr>
        <w:t xml:space="preserve">nie i uzgodnienia oraz prognoza oddziaływania na środowisko i opracowanie </w:t>
      </w:r>
      <w:proofErr w:type="spellStart"/>
      <w:r>
        <w:rPr>
          <w:szCs w:val="20"/>
        </w:rPr>
        <w:t>ekofizjograficzne</w:t>
      </w:r>
      <w:proofErr w:type="spellEnd"/>
      <w:r>
        <w:rPr>
          <w:szCs w:val="20"/>
        </w:rPr>
        <w:t xml:space="preserve"> sporządzone dla potrzeb obowiązującego miejscowego planu </w:t>
      </w:r>
      <w:r>
        <w:rPr>
          <w:szCs w:val="20"/>
        </w:rPr>
        <w:lastRenderedPageBreak/>
        <w:t>zagospodarowania przestrzennego. Z treści opinii i uzgodnień wynika, że podmioty opiniujące lub uzgadniając</w:t>
      </w:r>
      <w:r>
        <w:rPr>
          <w:szCs w:val="20"/>
        </w:rPr>
        <w:t>e, z wyłączeniem Miejskiej Komisji Urbanistyczno-Architektonicznej w Łodzi,  nie wniosły sprzeciwu wobec planowanej inwestycji.</w:t>
      </w:r>
    </w:p>
    <w:p w:rsidR="00383E9E" w:rsidRDefault="006965C1">
      <w:pPr>
        <w:spacing w:before="120" w:after="120"/>
        <w:ind w:firstLine="510"/>
        <w:jc w:val="both"/>
        <w:rPr>
          <w:szCs w:val="20"/>
        </w:rPr>
      </w:pPr>
      <w:r>
        <w:rPr>
          <w:szCs w:val="20"/>
        </w:rPr>
        <w:t>Planowany sposób zagospodarowania terenu obejmuje b</w:t>
      </w:r>
      <w:r>
        <w:rPr>
          <w:szCs w:val="20"/>
          <w:u w:color="000000"/>
        </w:rPr>
        <w:t xml:space="preserve">udowę budynku mieszkalnego wielorodzinnego, </w:t>
      </w:r>
      <w:r>
        <w:rPr>
          <w:szCs w:val="20"/>
        </w:rPr>
        <w:t>usytuowanego w miejscu istniejące</w:t>
      </w:r>
      <w:r>
        <w:rPr>
          <w:szCs w:val="20"/>
        </w:rPr>
        <w:t>go budynku biurowego przy ulicy Nowej 29/31 w Łodzi. Lokalizację ściany frontowej budynku, o maksymalnie 11 kondygnacjach nadziemnych i 1 podziemnej, wyznacza strefa ochronna ciepłociągu, zlokalizowanego na terenie inwestycji. Wnioskowana powierzchnia zabu</w:t>
      </w:r>
      <w:r>
        <w:rPr>
          <w:szCs w:val="20"/>
        </w:rPr>
        <w:t>dowy nie przekroczy 1 485 m</w:t>
      </w:r>
      <w:r>
        <w:rPr>
          <w:szCs w:val="20"/>
          <w:vertAlign w:val="superscript"/>
        </w:rPr>
        <w:t>2</w:t>
      </w:r>
      <w:r>
        <w:rPr>
          <w:szCs w:val="20"/>
        </w:rPr>
        <w:t>, co stanowi 60% powierzchni działek inwestora. Teren inwestycji mieszkaniowej leży w pozostałej części Strefy Wielkomiejskiej. Projekt przewiduje realizację od 50 do 112 mieszkań, o łącznej powierzchni użytkowej od 3800 m</w:t>
      </w:r>
      <w:r>
        <w:rPr>
          <w:szCs w:val="20"/>
          <w:vertAlign w:val="superscript"/>
        </w:rPr>
        <w:t>2</w:t>
      </w:r>
      <w:r>
        <w:rPr>
          <w:szCs w:val="20"/>
        </w:rPr>
        <w:t xml:space="preserve"> do 4</w:t>
      </w:r>
      <w:r>
        <w:rPr>
          <w:szCs w:val="20"/>
        </w:rPr>
        <w:t>900 m</w:t>
      </w:r>
      <w:r>
        <w:rPr>
          <w:szCs w:val="20"/>
          <w:vertAlign w:val="superscript"/>
        </w:rPr>
        <w:t>2</w:t>
      </w:r>
      <w:r>
        <w:rPr>
          <w:szCs w:val="20"/>
        </w:rPr>
        <w:t xml:space="preserve">. Inwestycja zlokalizowana jest w obszarze  układu urbanistycznego "Nowa Dzielnica" 1843 roku wpisanego do Gminnej Ewidencji Zabytków Miasta Łodzi. </w:t>
      </w:r>
    </w:p>
    <w:p w:rsidR="00383E9E" w:rsidRDefault="006965C1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szCs w:val="20"/>
        </w:rPr>
        <w:t>Wnioskodawca złożył oświadczeni</w:t>
      </w:r>
      <w:r>
        <w:rPr>
          <w:color w:val="000000"/>
          <w:szCs w:val="20"/>
        </w:rPr>
        <w:t>e, o którym mowa w art. 7 ust. 8 pkt 2 specustawy, że nie zachodzi kol</w:t>
      </w:r>
      <w:r>
        <w:rPr>
          <w:color w:val="000000"/>
          <w:szCs w:val="20"/>
        </w:rPr>
        <w:t>izja lokalizacji inwestycji mieszkaniowej z inwestycjami, o których mowa w art. 4 pkt 1-13 specustawy i które mają ustawowe pierwszeństwo przed inwestycjami mieszkaniowymi.</w:t>
      </w:r>
    </w:p>
    <w:p w:rsidR="00383E9E" w:rsidRDefault="006965C1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>Na obszarze obejmującym teren wniosku obowiązuje miejscowy plan zagospodarowania pr</w:t>
      </w:r>
      <w:r>
        <w:rPr>
          <w:color w:val="000000"/>
          <w:szCs w:val="20"/>
        </w:rPr>
        <w:t xml:space="preserve">zestrzennego -  uchwała Nr IX/316/19 Rady Miejskiej w Łodzi z dnia 8 maja 2019 r., zwany dalej </w:t>
      </w:r>
      <w:proofErr w:type="spellStart"/>
      <w:r>
        <w:rPr>
          <w:color w:val="000000"/>
          <w:szCs w:val="20"/>
        </w:rPr>
        <w:t>mpzp</w:t>
      </w:r>
      <w:proofErr w:type="spellEnd"/>
      <w:r>
        <w:rPr>
          <w:color w:val="000000"/>
          <w:szCs w:val="20"/>
        </w:rPr>
        <w:t xml:space="preserve"> lub planem miejscowym. Planowana inwestycja nie uwzględnia ustaleń planu miejscowego w zakresie przeznaczenia (</w:t>
      </w:r>
      <w:proofErr w:type="spellStart"/>
      <w:r>
        <w:rPr>
          <w:color w:val="000000"/>
          <w:szCs w:val="20"/>
        </w:rPr>
        <w:t>mpzp</w:t>
      </w:r>
      <w:proofErr w:type="spellEnd"/>
      <w:r>
        <w:rPr>
          <w:color w:val="000000"/>
          <w:szCs w:val="20"/>
        </w:rPr>
        <w:t xml:space="preserve"> - usługowa, koncepcja - mieszkaniowa wie</w:t>
      </w:r>
      <w:r>
        <w:rPr>
          <w:color w:val="000000"/>
          <w:szCs w:val="20"/>
        </w:rPr>
        <w:t>lorodzinna), linii zabudowy, powierzchni zabudowy (</w:t>
      </w:r>
      <w:proofErr w:type="spellStart"/>
      <w:r>
        <w:rPr>
          <w:color w:val="000000"/>
          <w:szCs w:val="20"/>
        </w:rPr>
        <w:t>mpzp</w:t>
      </w:r>
      <w:proofErr w:type="spellEnd"/>
      <w:r>
        <w:rPr>
          <w:color w:val="000000"/>
          <w:szCs w:val="20"/>
        </w:rPr>
        <w:t xml:space="preserve"> - maksimum 50%, koncepcja - od 35% - 65%), intensywności zabudowy (</w:t>
      </w:r>
      <w:proofErr w:type="spellStart"/>
      <w:r>
        <w:rPr>
          <w:color w:val="000000"/>
          <w:szCs w:val="20"/>
        </w:rPr>
        <w:t>mpzp</w:t>
      </w:r>
      <w:proofErr w:type="spellEnd"/>
      <w:r>
        <w:rPr>
          <w:color w:val="000000"/>
          <w:szCs w:val="20"/>
        </w:rPr>
        <w:t xml:space="preserve"> - maksimum 2.0, koncepcja 3.2), wysokości zabudowy (</w:t>
      </w:r>
      <w:proofErr w:type="spellStart"/>
      <w:r>
        <w:rPr>
          <w:color w:val="000000"/>
          <w:szCs w:val="20"/>
        </w:rPr>
        <w:t>mpzp</w:t>
      </w:r>
      <w:proofErr w:type="spellEnd"/>
      <w:r>
        <w:rPr>
          <w:color w:val="000000"/>
          <w:szCs w:val="20"/>
        </w:rPr>
        <w:t xml:space="preserve"> - maksimum 17 m, koncepcja - maksimum 35 m). </w:t>
      </w:r>
    </w:p>
    <w:p w:rsidR="00383E9E" w:rsidRDefault="006965C1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ab/>
        <w:t>Zgodnie z art. 5 ust. 3 </w:t>
      </w:r>
      <w:r>
        <w:rPr>
          <w:color w:val="000000"/>
          <w:szCs w:val="20"/>
        </w:rPr>
        <w:t>specustawy inwestycję mieszkaniową lub inwestycję towarzyszącą realizuje się niezależnie od istnienia lub ustaleń miejscowego planu zagospodarowania przestrzennego pod warunkiem, że nie jest sprzeczna ze studium uwarunkowań kierunków zagospodarowania p</w:t>
      </w:r>
      <w:r>
        <w:rPr>
          <w:color w:val="000000"/>
          <w:szCs w:val="20"/>
        </w:rPr>
        <w:t>rzestrzennego gminy oraz uchwałą o utworzeniu parku kulturowego. Z ustaleń Studium uwarunkowań i kierunków zagospodarowania przestrzennego, przyjętego uchwałą Nr LXIX/1753/18 Rady Miejskiej w Łodzi z dnia 28 </w:t>
      </w:r>
      <w:r>
        <w:rPr>
          <w:color w:val="000000"/>
          <w:szCs w:val="20"/>
          <w:lang w:val="it-IT" w:eastAsia="it-IT" w:bidi="it-IT"/>
        </w:rPr>
        <w:t>marca 2018</w:t>
      </w:r>
      <w:r>
        <w:rPr>
          <w:color w:val="000000"/>
          <w:szCs w:val="20"/>
        </w:rPr>
        <w:t> r., zmienioną uchwałą Nr VI/215/19 R</w:t>
      </w:r>
      <w:r>
        <w:rPr>
          <w:color w:val="000000"/>
          <w:szCs w:val="20"/>
        </w:rPr>
        <w:t>ady Miejskiej w Łodzi z dnia 6 </w:t>
      </w:r>
      <w:r>
        <w:rPr>
          <w:color w:val="000000"/>
          <w:szCs w:val="20"/>
          <w:lang w:val="it-IT" w:eastAsia="it-IT" w:bidi="it-IT"/>
        </w:rPr>
        <w:t>marca 2019</w:t>
      </w:r>
      <w:r>
        <w:rPr>
          <w:color w:val="000000"/>
          <w:szCs w:val="20"/>
        </w:rPr>
        <w:t> r. oraz uchwałą Nr LII/1605/21 z dnia 22 grudnia 2021 r., zwanego dalej Studium, wynika, że lokalizacja wnioskowanej inwestycji mieszkaniowej znajduje się w jednostce W3b - strefa wielkomiejska, jednostka funkcjona</w:t>
      </w:r>
      <w:r>
        <w:rPr>
          <w:color w:val="000000"/>
          <w:szCs w:val="20"/>
        </w:rPr>
        <w:t>lno-przestrzenna - wielofunkcyjne kwartały śródmiejskie III. W studium wskazano maksymalną intensywność zabudowy 2,5, liczoną dla całego terenu W3b. Zgodnie z wnioskiem maksymalny wskaźnik intensywności zabudowy  dla terenu W3b po realizacji inwestycji wyn</w:t>
      </w:r>
      <w:r>
        <w:rPr>
          <w:color w:val="000000"/>
          <w:szCs w:val="20"/>
        </w:rPr>
        <w:t xml:space="preserve">iesie około 0.9 (koncepcja dla terenu inwestycji mieszkaniowej objętej wnioskiem - 3.2). Wskaźnik powierzchni biologicznie czynnej w Studium określono na poziomie minimum 5 %. Inwestor wnioskuje o minimum 12,5 % powierzchni biologicznie czynnej w stosunku </w:t>
      </w:r>
      <w:r>
        <w:rPr>
          <w:color w:val="000000"/>
          <w:szCs w:val="20"/>
        </w:rPr>
        <w:t>do terenu inwestycji. W studium określono maksymalną wysokość zabudowy w pierzejach ulic i placów -  w nawiązaniu do wysokości zabudowy historycznej, nie wyżej niż 21 m, a w pierzejach z udziałem zabudowy istniejącej wyższej niż 21 m oraz w narożnikach zab</w:t>
      </w:r>
      <w:r>
        <w:rPr>
          <w:color w:val="000000"/>
          <w:szCs w:val="20"/>
        </w:rPr>
        <w:t>udowy przy skrzyżowaniach ulic  - nie wyżej niż 25 m z zastrzeżeniem m.in.: przewyższeń ze względów uzasadnionych kompozycyjnie - nie wyżej niż 30 m. Wniosek obejmuje zabudowę o maksymalnej wysokości 35 m, co jest sprzeczne z ustaleniami studium.</w:t>
      </w:r>
    </w:p>
    <w:p w:rsidR="00383E9E" w:rsidRDefault="006965C1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Inwestor </w:t>
      </w:r>
      <w:r>
        <w:rPr>
          <w:color w:val="000000"/>
          <w:szCs w:val="20"/>
        </w:rPr>
        <w:t xml:space="preserve">zawnioskował o skorzystanie z wyjątku, o którym mowa w art. 5 ust. 4 pkt 3 specustawy. W mającym zastosowanie w niniejszej sprawie brzmieniu przepisu prawa, </w:t>
      </w:r>
      <w:r>
        <w:rPr>
          <w:color w:val="000000"/>
          <w:szCs w:val="20"/>
        </w:rPr>
        <w:lastRenderedPageBreak/>
        <w:t>warunek niesprzeczności ze studium nie dotyczy terenów, na których jest zlokalizowany budynek biuro</w:t>
      </w:r>
      <w:r>
        <w:rPr>
          <w:color w:val="000000"/>
          <w:szCs w:val="20"/>
        </w:rPr>
        <w:t>wy. Inwestor do wniosku dołączył wypisy z kartoteki budynków z dnia 11 marca 2025 r.  dla nieruchomości przy ulicy Nowej 29/31 w Łodzi, wg których na terenie objętym wnioskiem istnieją dwa budynki usługowe o powierzchni 569 m</w:t>
      </w:r>
      <w:r>
        <w:rPr>
          <w:color w:val="000000"/>
          <w:szCs w:val="20"/>
          <w:vertAlign w:val="superscript"/>
        </w:rPr>
        <w:t xml:space="preserve">2 </w:t>
      </w:r>
      <w:r>
        <w:rPr>
          <w:color w:val="000000"/>
          <w:szCs w:val="20"/>
        </w:rPr>
        <w:t>(rok zakończenia budowy - 196</w:t>
      </w:r>
      <w:r>
        <w:rPr>
          <w:color w:val="000000"/>
          <w:szCs w:val="20"/>
        </w:rPr>
        <w:t>9) oraz 342 m</w:t>
      </w:r>
      <w:r>
        <w:rPr>
          <w:color w:val="000000"/>
          <w:szCs w:val="20"/>
          <w:vertAlign w:val="superscript"/>
        </w:rPr>
        <w:t>2</w:t>
      </w:r>
      <w:r>
        <w:rPr>
          <w:color w:val="000000"/>
          <w:szCs w:val="20"/>
        </w:rPr>
        <w:t xml:space="preserve"> (rok zakończenia budowy 1981).</w:t>
      </w:r>
    </w:p>
    <w:p w:rsidR="00383E9E" w:rsidRDefault="006965C1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 Inwestycja została zlokalizowana poza obszarem parku kulturowego.</w:t>
      </w:r>
    </w:p>
    <w:p w:rsidR="00383E9E" w:rsidRDefault="006965C1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>Wniosek inwestora spełnia standardy lokalizacji i realizacji inwestycji mieszkaniowych określonych w rozdziale 3 specustawy w następujący sposó</w:t>
      </w:r>
      <w:r>
        <w:rPr>
          <w:color w:val="000000"/>
          <w:szCs w:val="20"/>
        </w:rPr>
        <w:t>b:</w:t>
      </w:r>
    </w:p>
    <w:p w:rsidR="00383E9E" w:rsidRDefault="006965C1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>1) zgodnie z art. 17 ust. 1 specustawy:</w:t>
      </w:r>
    </w:p>
    <w:p w:rsidR="00383E9E" w:rsidRDefault="006965C1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>a) inwestycja ma zapewniony dostęp do drogi publicznej - ulicy Nowej,</w:t>
      </w:r>
    </w:p>
    <w:p w:rsidR="00383E9E" w:rsidRDefault="006965C1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>b) inwestycja ma zapewniony dostęp do sieci wodociągowej i kanalizacyjnej – zgodnie z pismem Zakładu Wodociągów i Kanalizacji Sp. z o.o., znak:</w:t>
      </w:r>
      <w:r>
        <w:rPr>
          <w:color w:val="000000"/>
          <w:szCs w:val="20"/>
        </w:rPr>
        <w:t xml:space="preserve"> IT.424.290.2025.SZ</w:t>
      </w:r>
      <w:r>
        <w:rPr>
          <w:color w:val="000000"/>
          <w:szCs w:val="20"/>
          <w:lang w:val="de-DE" w:eastAsia="de-DE" w:bidi="de-DE"/>
        </w:rPr>
        <w:t xml:space="preserve"> z</w:t>
      </w:r>
      <w:r>
        <w:rPr>
          <w:color w:val="000000"/>
          <w:szCs w:val="20"/>
        </w:rPr>
        <w:t> dnia 7.02.2025 r.,</w:t>
      </w:r>
    </w:p>
    <w:p w:rsidR="00383E9E" w:rsidRDefault="006965C1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>c) inwestycja ma zapewniony dostęp do sieci elektroenergetycznej – zgodnie z oświadczeniem o zapewnieniu dostaw energii elektrycznej oraz warunkach przyłączenia obiektu budowlanego do sieci dystrybucyjnej znak: 25-D</w:t>
      </w:r>
      <w:r>
        <w:rPr>
          <w:color w:val="000000"/>
          <w:szCs w:val="20"/>
        </w:rPr>
        <w:t>7/WZD/00068/JW z dnia 6.02.2025 r. PGE Dystrybucja S.A. w Łodzi;</w:t>
      </w:r>
    </w:p>
    <w:p w:rsidR="00383E9E" w:rsidRDefault="006965C1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2) zgodnie z art. 17 ust. 2 w związku z art. 19 specustawy i uchwałą Nr </w:t>
      </w:r>
      <w:r>
        <w:rPr>
          <w:szCs w:val="20"/>
        </w:rPr>
        <w:t>LXXVI/2076/18</w:t>
      </w:r>
      <w:r>
        <w:rPr>
          <w:color w:val="000000"/>
          <w:szCs w:val="20"/>
        </w:rPr>
        <w:t xml:space="preserve"> Rady Miejskiej w Łodzi z dnia 10 października 2018 r. w sprawie lokalnych standardów urbanistycznych dla </w:t>
      </w:r>
      <w:r>
        <w:rPr>
          <w:color w:val="000000"/>
          <w:szCs w:val="20"/>
        </w:rPr>
        <w:t xml:space="preserve">Miasta Łodzi </w:t>
      </w:r>
      <w:r>
        <w:rPr>
          <w:szCs w:val="20"/>
        </w:rPr>
        <w:t>(Dz. Urz. Woj. Łódzkiego poz. 5644)</w:t>
      </w:r>
      <w:r>
        <w:rPr>
          <w:color w:val="000000"/>
          <w:szCs w:val="20"/>
        </w:rPr>
        <w:t xml:space="preserve">, </w:t>
      </w:r>
      <w:r>
        <w:rPr>
          <w:szCs w:val="20"/>
        </w:rPr>
        <w:t>zmienionej uchwałami Rady Miejskiej w Łodzi: Nr III/59/18 z dnia 27 grudnia 2018 r. (Dz. Urz. Woj. Łódzkiego z 2019 r. poz. 348), Nr XXXIII/1093/20 z dnia 2 grudnia 2020 r. (Dz. Urz. Woj. Łódzkiego poz. 720</w:t>
      </w:r>
      <w:r>
        <w:rPr>
          <w:szCs w:val="20"/>
        </w:rPr>
        <w:t>0), Nr LX/1810/22</w:t>
      </w:r>
      <w:r>
        <w:rPr>
          <w:szCs w:val="20"/>
          <w:lang w:val="de-DE" w:eastAsia="de-DE" w:bidi="de-DE"/>
        </w:rPr>
        <w:t xml:space="preserve"> z</w:t>
      </w:r>
      <w:r>
        <w:rPr>
          <w:szCs w:val="20"/>
        </w:rPr>
        <w:t> dnia 1 czerwca 2022 r. (Dz. Urz. Woj. Łódzkiego poz. 3675), Nr LXXIII/2191/23</w:t>
      </w:r>
      <w:r>
        <w:rPr>
          <w:szCs w:val="20"/>
          <w:lang w:val="de-DE" w:eastAsia="de-DE" w:bidi="de-DE"/>
        </w:rPr>
        <w:t xml:space="preserve"> z</w:t>
      </w:r>
      <w:r>
        <w:rPr>
          <w:szCs w:val="20"/>
        </w:rPr>
        <w:t> dnia 15 marca 2023 r. (Dz. Urz. Woj. Łódzkiego poz. 4066) i Nr LXXXVI/2608/24</w:t>
      </w:r>
      <w:r>
        <w:rPr>
          <w:szCs w:val="20"/>
          <w:lang w:val="de-DE" w:eastAsia="de-DE" w:bidi="de-DE"/>
        </w:rPr>
        <w:t xml:space="preserve"> z</w:t>
      </w:r>
      <w:r>
        <w:rPr>
          <w:szCs w:val="20"/>
        </w:rPr>
        <w:t> dnia 17 stycznia 2024 r. (Dz. Urz. Woj. Łódzkiego poz. 1102)</w:t>
      </w:r>
      <w:r>
        <w:rPr>
          <w:color w:val="000000"/>
          <w:szCs w:val="20"/>
        </w:rPr>
        <w:t xml:space="preserve">, zwanych dalej </w:t>
      </w:r>
      <w:r>
        <w:rPr>
          <w:color w:val="000000"/>
          <w:szCs w:val="20"/>
        </w:rPr>
        <w:t>lokalnymi standardami urbanistycznymi:</w:t>
      </w:r>
    </w:p>
    <w:p w:rsidR="00383E9E" w:rsidRDefault="006965C1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>a) odległość (dojście) inwestycji mieszkaniowej od istniejącego przystanku publicznego transportu zbiorowego - przystanki tramwajowe przy al. Marszałka Józefa Piłsudskiego - wynosi nie więcej niż 500 m (około 300 m),</w:t>
      </w:r>
    </w:p>
    <w:p w:rsidR="00383E9E" w:rsidRDefault="006965C1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>b)</w:t>
      </w:r>
      <w:r>
        <w:rPr>
          <w:color w:val="000000"/>
          <w:szCs w:val="20"/>
        </w:rPr>
        <w:tab/>
        <w:t> odległość (dojście) do Szkoły Podstawowej nr 170 w Zespole Szkolno-Przedszkolnym nr 9 w Łodzi przy ulicy Miedzianej 1/3, mogącej przyjąć nie mniej niż 7% planowanych mieszkańców inwestycji, wynosi nie więcej niż 1000 m (około 450 m), co potwierdza zaśw</w:t>
      </w:r>
      <w:r>
        <w:rPr>
          <w:color w:val="000000"/>
          <w:szCs w:val="20"/>
        </w:rPr>
        <w:t>iadczenie z dnia 24 lutego 2025 r., wydane zgodnie z art. 17 ust. 3 specustawy;</w:t>
      </w:r>
    </w:p>
    <w:p w:rsidR="00383E9E" w:rsidRDefault="006965C1">
      <w:pPr>
        <w:tabs>
          <w:tab w:val="left" w:pos="855"/>
        </w:tabs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>3)</w:t>
      </w:r>
      <w:r>
        <w:rPr>
          <w:color w:val="000000"/>
          <w:szCs w:val="20"/>
        </w:rPr>
        <w:tab/>
        <w:t xml:space="preserve">zgodnie z art. 17 ust. 4 w związku z art. 19 specustawy i lokalnymi standardami urbanistycznymi, inwestycja jest zlokalizowana w odległości </w:t>
      </w:r>
      <w:proofErr w:type="spellStart"/>
      <w:r>
        <w:rPr>
          <w:color w:val="000000"/>
          <w:szCs w:val="20"/>
        </w:rPr>
        <w:t>okoł</w:t>
      </w:r>
      <w:proofErr w:type="spellEnd"/>
      <w:r>
        <w:rPr>
          <w:color w:val="000000"/>
          <w:szCs w:val="20"/>
          <w:lang w:val="it-IT" w:eastAsia="it-IT" w:bidi="it-IT"/>
        </w:rPr>
        <w:t xml:space="preserve">o </w:t>
      </w:r>
      <w:r>
        <w:rPr>
          <w:color w:val="000000"/>
          <w:szCs w:val="20"/>
        </w:rPr>
        <w:t xml:space="preserve">550 m od Parku Źródliska I </w:t>
      </w:r>
      <w:r>
        <w:rPr>
          <w:color w:val="000000"/>
          <w:szCs w:val="20"/>
        </w:rPr>
        <w:t>o powierzchni ok. 9,2 ha, czyli w odległości mniejszej niż 1000 m  od urządzonych terenów wypoczynku oraz rekreacji lub sportu, o powierzchni stanowiącej co najmniej iloczyn planowanej liczby mieszkańców (maksymalnie 176 mieszkańców) oraz wskaźnika wynoszą</w:t>
      </w:r>
      <w:r>
        <w:rPr>
          <w:color w:val="000000"/>
          <w:szCs w:val="20"/>
        </w:rPr>
        <w:t>cego 4 m</w:t>
      </w:r>
      <w:r>
        <w:rPr>
          <w:color w:val="000000"/>
          <w:szCs w:val="20"/>
          <w:vertAlign w:val="superscript"/>
        </w:rPr>
        <w:t>2</w:t>
      </w:r>
      <w:r>
        <w:rPr>
          <w:color w:val="000000"/>
          <w:szCs w:val="20"/>
        </w:rPr>
        <w:t>, czyli 704 m</w:t>
      </w:r>
      <w:r>
        <w:rPr>
          <w:color w:val="000000"/>
          <w:szCs w:val="20"/>
          <w:vertAlign w:val="superscript"/>
        </w:rPr>
        <w:t>2</w:t>
      </w:r>
      <w:r>
        <w:rPr>
          <w:color w:val="000000"/>
          <w:szCs w:val="20"/>
        </w:rPr>
        <w:t>;</w:t>
      </w:r>
    </w:p>
    <w:p w:rsidR="00383E9E" w:rsidRDefault="006965C1">
      <w:pPr>
        <w:tabs>
          <w:tab w:val="left" w:pos="855"/>
        </w:tabs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>4)</w:t>
      </w:r>
      <w:r>
        <w:rPr>
          <w:color w:val="000000"/>
          <w:szCs w:val="20"/>
        </w:rPr>
        <w:tab/>
        <w:t>zgodnie z art. 17 ust. 4a  w związku z art. 17 ust. 4b pkt 2 specustawy - zapewnienie minimalnego udziału ogólnodostępnego, nieogrodzonego, urządzonego terenu wypoczynku oraz rekreacji lub sportu w ramach powierzchni biologiczni</w:t>
      </w:r>
      <w:r>
        <w:rPr>
          <w:color w:val="000000"/>
          <w:szCs w:val="20"/>
        </w:rPr>
        <w:t xml:space="preserve">e czynnej - nie dotyczy; teren inwestycji położony w obszarze zabudowy śródmiejskiej zgodnie z ustaleniami </w:t>
      </w:r>
      <w:proofErr w:type="spellStart"/>
      <w:r>
        <w:rPr>
          <w:color w:val="000000"/>
          <w:szCs w:val="20"/>
        </w:rPr>
        <w:t>mpzp</w:t>
      </w:r>
      <w:proofErr w:type="spellEnd"/>
      <w:r>
        <w:rPr>
          <w:color w:val="000000"/>
          <w:szCs w:val="20"/>
        </w:rPr>
        <w:t>;</w:t>
      </w:r>
    </w:p>
    <w:p w:rsidR="00383E9E" w:rsidRDefault="006965C1">
      <w:pPr>
        <w:tabs>
          <w:tab w:val="left" w:pos="855"/>
        </w:tabs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lastRenderedPageBreak/>
        <w:t>5)</w:t>
      </w:r>
      <w:r>
        <w:rPr>
          <w:color w:val="000000"/>
          <w:szCs w:val="20"/>
        </w:rPr>
        <w:tab/>
        <w:t>zgodnie z art. 17 ust 4d pkt 1 specustawy minimalny udział powierzchni biologicznie czynnej w obszarze zabudowy śródmiejskiej wyniesie nie m</w:t>
      </w:r>
      <w:r>
        <w:rPr>
          <w:color w:val="000000"/>
          <w:szCs w:val="20"/>
        </w:rPr>
        <w:t>niej niż 12,5% powierzchni terenu inwestycji - wg wniosku i projektu uchwały minimum 12,5%;</w:t>
      </w:r>
    </w:p>
    <w:p w:rsidR="00383E9E" w:rsidRDefault="006965C1">
      <w:pPr>
        <w:tabs>
          <w:tab w:val="left" w:pos="855"/>
        </w:tabs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>6)</w:t>
      </w:r>
      <w:r>
        <w:rPr>
          <w:color w:val="000000"/>
          <w:szCs w:val="20"/>
        </w:rPr>
        <w:tab/>
        <w:t>zgodnie z art. 17 ust 4d pkt 2 specustawy minimalna liczba miejsc postojowych  będzie równa co najmniej liczbie mieszkań w obszarze zabudowy śródmiejskiej;</w:t>
      </w:r>
    </w:p>
    <w:p w:rsidR="00383E9E" w:rsidRDefault="006965C1">
      <w:pPr>
        <w:tabs>
          <w:tab w:val="left" w:pos="855"/>
        </w:tabs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>7)</w:t>
      </w:r>
      <w:r>
        <w:rPr>
          <w:color w:val="000000"/>
          <w:szCs w:val="20"/>
        </w:rPr>
        <w:tab/>
        <w:t>zg</w:t>
      </w:r>
      <w:r>
        <w:rPr>
          <w:color w:val="000000"/>
          <w:szCs w:val="20"/>
        </w:rPr>
        <w:t>odnie z art. 17 ust. 6 w związku z art. 19 specustawy i lokalnymi standardami urbanistycznymi, projektowany budynek będzie miał więcej niż 7 kondygnacji nadziemnych - tj. maksimum 11 kondygnacji nadziemnych i do 35 m ponieważ w promieniu 250 m (w odległośc</w:t>
      </w:r>
      <w:r>
        <w:rPr>
          <w:color w:val="000000"/>
          <w:szCs w:val="20"/>
        </w:rPr>
        <w:t>i około 50 m) od planowanego budynku znajduje się budynek mieszkalny o wysokości 14 kondygnacji nadziemnych i około 42 m;</w:t>
      </w:r>
    </w:p>
    <w:p w:rsidR="00383E9E" w:rsidRDefault="006965C1">
      <w:pPr>
        <w:tabs>
          <w:tab w:val="left" w:pos="855"/>
        </w:tabs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>8)</w:t>
      </w:r>
      <w:r>
        <w:rPr>
          <w:color w:val="000000"/>
          <w:szCs w:val="20"/>
        </w:rPr>
        <w:tab/>
        <w:t>zgodnie z art. 19 ust. 3 specustawy i lokalnymi standardami urbanistycznymi:</w:t>
      </w:r>
    </w:p>
    <w:p w:rsidR="00383E9E" w:rsidRDefault="006965C1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>a) inwestycja ma zapewniony dostęp do sieci ciepłownic</w:t>
      </w:r>
      <w:r>
        <w:rPr>
          <w:color w:val="000000"/>
          <w:szCs w:val="20"/>
        </w:rPr>
        <w:t>zej zgodnie z informacją o technicznej możliwości podłączenia do Ciepła Systemowego planowanej inwestycji nr VECP/HRSR/KM/2025 z dnia 21 lutego 2025 r., wydaną przez VEOLIA ENERGIA ŁÓDŹ S.A.,</w:t>
      </w:r>
    </w:p>
    <w:p w:rsidR="00383E9E" w:rsidRDefault="006965C1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>b) zapewniono niezbędną minimalną liczbę miejsc parkingowych dla</w:t>
      </w:r>
      <w:r>
        <w:rPr>
          <w:color w:val="000000"/>
          <w:szCs w:val="20"/>
        </w:rPr>
        <w:t xml:space="preserve"> obsługi inwestycji mieszkaniowej nie mniejszą niż minimalny wskaźnik 0,7 </w:t>
      </w:r>
      <w:proofErr w:type="spellStart"/>
      <w:r>
        <w:rPr>
          <w:color w:val="000000"/>
          <w:szCs w:val="20"/>
        </w:rPr>
        <w:t>m.p</w:t>
      </w:r>
      <w:proofErr w:type="spellEnd"/>
      <w:r>
        <w:rPr>
          <w:color w:val="000000"/>
          <w:szCs w:val="20"/>
        </w:rPr>
        <w:t xml:space="preserve">. na lokal mieszkalny określony dla pozostałej części Strefy Wielkomiejskiej, tj. zastosowano wskaźnik ze specustawy - min. 1,0 </w:t>
      </w:r>
      <w:proofErr w:type="spellStart"/>
      <w:r>
        <w:rPr>
          <w:color w:val="000000"/>
          <w:szCs w:val="20"/>
        </w:rPr>
        <w:t>m.p</w:t>
      </w:r>
      <w:proofErr w:type="spellEnd"/>
      <w:r>
        <w:rPr>
          <w:color w:val="000000"/>
          <w:szCs w:val="20"/>
        </w:rPr>
        <w:t>. na lokal mieszkalny.</w:t>
      </w:r>
    </w:p>
    <w:p w:rsidR="00383E9E" w:rsidRDefault="006965C1">
      <w:pPr>
        <w:spacing w:before="120" w:after="120"/>
        <w:ind w:firstLine="510"/>
        <w:jc w:val="both"/>
        <w:rPr>
          <w:color w:val="000000"/>
          <w:sz w:val="23"/>
          <w:szCs w:val="20"/>
        </w:rPr>
      </w:pPr>
      <w:r>
        <w:rPr>
          <w:color w:val="000000"/>
          <w:szCs w:val="20"/>
        </w:rPr>
        <w:t>Projektowana inwestycja m</w:t>
      </w:r>
      <w:r>
        <w:rPr>
          <w:color w:val="000000"/>
          <w:szCs w:val="20"/>
        </w:rPr>
        <w:t>ieszkaniowa nie została zlokalizowana na terenach podlegających ochronie przed lokalizowaniem lub zabudową na podstawie odrębnych przepisów, a także w granicach otulin form ochrony przyrody, rodzinnych ogrodów działkowych czy obszaru szczególnego zagrożen</w:t>
      </w:r>
      <w:r>
        <w:rPr>
          <w:color w:val="000000"/>
          <w:szCs w:val="20"/>
        </w:rPr>
        <w:t xml:space="preserve">ia powodzią, zgodnie z art. 5 ust. 1 i 2 specustawy. </w:t>
      </w:r>
      <w:r>
        <w:rPr>
          <w:color w:val="000000"/>
          <w:sz w:val="23"/>
          <w:szCs w:val="20"/>
        </w:rPr>
        <w:t>Projektowana inwestycja nie jest zlokalizowana w odległości, o której mowa w art. 5 ust. 3a specustawy, nie jest także zlokalizowana w granicach Parku Kulturowego.</w:t>
      </w:r>
    </w:p>
    <w:p w:rsidR="00383E9E" w:rsidRDefault="006965C1">
      <w:pPr>
        <w:spacing w:before="120" w:after="120"/>
        <w:ind w:firstLine="510"/>
        <w:jc w:val="both"/>
        <w:rPr>
          <w:szCs w:val="20"/>
        </w:rPr>
      </w:pPr>
      <w:r>
        <w:rPr>
          <w:color w:val="000000"/>
          <w:szCs w:val="20"/>
        </w:rPr>
        <w:t>Zgodnie z art. 7 ust. 4 specustawy, prz</w:t>
      </w:r>
      <w:r>
        <w:rPr>
          <w:color w:val="000000"/>
          <w:szCs w:val="20"/>
        </w:rPr>
        <w:t>y podejmowaniu niniejszej uchwały Rada Miejska w Łodzi brała pod uwagę stan zaspokojenia potrzeb mieszkaniowych na terenie gminy oraz potrzeby i możliwości rozwoju gminy wynikające z ustaleń studium uwarunkowań i kierunków zagospodarowania przestrzennego g</w:t>
      </w:r>
      <w:r>
        <w:rPr>
          <w:color w:val="000000"/>
          <w:szCs w:val="20"/>
        </w:rPr>
        <w:t xml:space="preserve">miny </w:t>
      </w:r>
      <w:r>
        <w:rPr>
          <w:szCs w:val="20"/>
        </w:rPr>
        <w:t>i sporządzonego na jego podstawie obowiązującego miejscowego planu zagospodarowania przestrzennego. Rada Miejska w Łodzi podejmując uchwałę w sprawie uchwalenia miejscowego planu, zawierającą w swych granicach między innymi kwartał pomiędzy Nową, Dobr</w:t>
      </w:r>
      <w:r>
        <w:rPr>
          <w:szCs w:val="20"/>
        </w:rPr>
        <w:t xml:space="preserve">ą, Przędzalnianą i </w:t>
      </w:r>
      <w:proofErr w:type="spellStart"/>
      <w:r>
        <w:rPr>
          <w:szCs w:val="20"/>
        </w:rPr>
        <w:t>Nawrot</w:t>
      </w:r>
      <w:proofErr w:type="spellEnd"/>
      <w:r>
        <w:rPr>
          <w:szCs w:val="20"/>
        </w:rPr>
        <w:t xml:space="preserve">, gdzie obecnie dominuje zabudowa 3-4 kondygnacyjna, ustaliła maksymalną wysokość do 17 m w terenach 4.1.MW, 4.4.MW, i 4.3.U oraz do 20 m w terenie 4.2.MW. Planowana zabudowa znacząco przewyższa ten wskaźnik (do 35 m). Podobnie wg </w:t>
      </w:r>
      <w:r>
        <w:rPr>
          <w:szCs w:val="20"/>
        </w:rPr>
        <w:t>Studium generalnie wysokość zabudowy została określona jako nieprzekraczająca 21 m. I tylko w wyjątkowych sytuacjach dopuszczono wysokość do 25 m i do 30 m, odpowiednio w pierzejach ulic z udziałem istniejącej zabudowy przewyższającej 21 m oraz przewyższeń</w:t>
      </w:r>
      <w:r>
        <w:rPr>
          <w:szCs w:val="20"/>
        </w:rPr>
        <w:t xml:space="preserve"> uzasadnionych kompozycyjnie. Zarówno udział zabudowy wysokiej czy uzasadnienie kompozycyjne nie są obiektywnymi warunkami i podlegają interpretacji i ocenie. W najbliższym sąsiedztwie, w pierzei ulicy Nowej na odcinku od ulicy </w:t>
      </w:r>
      <w:proofErr w:type="spellStart"/>
      <w:r>
        <w:rPr>
          <w:szCs w:val="20"/>
        </w:rPr>
        <w:t>Nawrot</w:t>
      </w:r>
      <w:proofErr w:type="spellEnd"/>
      <w:r>
        <w:rPr>
          <w:szCs w:val="20"/>
        </w:rPr>
        <w:t xml:space="preserve"> do ulicy Dobrej zloka</w:t>
      </w:r>
      <w:r>
        <w:rPr>
          <w:szCs w:val="20"/>
        </w:rPr>
        <w:t xml:space="preserve">lizowany jest tylko jeden budynek wyższy - wskazany przez inwestora jako referencyjny, przy ulicy Nowej 25. Inwestor w swojej analizie wskazuje dodatkowo na budynki wysokie przy ulicy Nowej 20, 16/18 i 6/12, zlokalizowane w kwartale pomiędzy ulicami </w:t>
      </w:r>
      <w:proofErr w:type="spellStart"/>
      <w:r>
        <w:rPr>
          <w:szCs w:val="20"/>
        </w:rPr>
        <w:t>Nawrot</w:t>
      </w:r>
      <w:proofErr w:type="spellEnd"/>
      <w:r>
        <w:rPr>
          <w:szCs w:val="20"/>
        </w:rPr>
        <w:t xml:space="preserve"> i Tuwima oraz na sposób kształtowania bryły projektowanego budynku, o wysokości 9 kondygnacji w pierzei ulicy Nowej w południowej części w bezpośrednim sąsiedztwie budynku 4-kondygnacyjnego oraz 11 kondygnacji w pierzei ulicy Nowej w południowej części w </w:t>
      </w:r>
      <w:r>
        <w:rPr>
          <w:szCs w:val="20"/>
        </w:rPr>
        <w:t xml:space="preserve">sąsiedztwie budynku             </w:t>
      </w:r>
      <w:r>
        <w:rPr>
          <w:szCs w:val="20"/>
        </w:rPr>
        <w:lastRenderedPageBreak/>
        <w:t>14-kondygnacyjnego. Zastosowane rozwiązania urbanistyczne (kompozycyjne) zostały jednak negatywnie ocenione przez Miejską Komisję Urbanistyczno-Architektoniczną w Łodzi, jako gorsze od tych, które przyjęto w obowiązującym na</w:t>
      </w:r>
      <w:r>
        <w:rPr>
          <w:szCs w:val="20"/>
        </w:rPr>
        <w:t xml:space="preserve"> tym terenie planie miejscowym. Komisja stwierdziła, że cyt. "projekt ignoruje potencjał i charakter ulicy Nowej, nie podejmując próby stworzenia architektury wartościowej i adekwatnej dla tej lokalizacji. W ocenie Komisji, realizacja budynku w proponowane</w:t>
      </w:r>
      <w:r>
        <w:rPr>
          <w:szCs w:val="20"/>
        </w:rPr>
        <w:t>j formie stanowiłaby negatywny precedens, prowadząc do degradacji jakościowej i wizualnej jednej z centralnych przestrzeni miasta, zamiast jej wzbogacenia." Dalej, cyt. "Zaproponowana architektura jest obca dla historycznego i współczesnego kontekstu urban</w:t>
      </w:r>
      <w:r>
        <w:rPr>
          <w:szCs w:val="20"/>
        </w:rPr>
        <w:t>istycznego Łodzi. Zastosowane formy, wykazujące powierzchowne nawiązania do estetyki azjatyckiej, są pozbawione uzasadnienia w lokalnej tradycji i charakterze miejsca. Prowadzi to do powstania obiektu o anonimowym wyrazie i wątpliwych walorach estetycznych</w:t>
      </w:r>
      <w:r>
        <w:rPr>
          <w:szCs w:val="20"/>
        </w:rPr>
        <w:t>, który nie dialoguje z otoczeniem, lecz wprowadza chaos i stanowi zagrożenie dla spójności ładu przestrzennego." Komisja odnosząc się do samej bryły budynku wskazała na fundamentalne zaburzenie proporcji i kompozycji bryły, stwierdzając rażącą dysproporcj</w:t>
      </w:r>
      <w:r>
        <w:rPr>
          <w:szCs w:val="20"/>
        </w:rPr>
        <w:t>ę pomiędzy strefą parteru a korpusem głównym.</w:t>
      </w:r>
    </w:p>
    <w:p w:rsidR="00383E9E" w:rsidRDefault="006965C1">
      <w:pPr>
        <w:spacing w:before="120" w:after="120"/>
        <w:ind w:firstLine="510"/>
        <w:jc w:val="both"/>
        <w:rPr>
          <w:szCs w:val="20"/>
        </w:rPr>
      </w:pPr>
      <w:r>
        <w:rPr>
          <w:szCs w:val="20"/>
        </w:rPr>
        <w:t>Mimo uzasadnienia prawnego dla skorzystania z wyjątku ustawowego w zakresie sprzeczności ze studium oraz przewyższenia wynikającego z lokalnych standardów urbanistycznych ponad ustalone 7 kondygnacji, z uwagi n</w:t>
      </w:r>
      <w:r>
        <w:rPr>
          <w:szCs w:val="20"/>
        </w:rPr>
        <w:t xml:space="preserve">a występujący w promieniu 250 m od planowanej inwestycji budynek mieszkalny o wysokości około 42 m - budynek referencyjny zlokalizowany przy Nowej 25, Rada Miejska nie znajduje uzasadnienia dla ustalenia wnioskowanej lokalizacji. </w:t>
      </w:r>
    </w:p>
    <w:p w:rsidR="00383E9E" w:rsidRDefault="00383E9E">
      <w:pPr>
        <w:spacing w:before="120" w:after="120"/>
        <w:jc w:val="both"/>
        <w:rPr>
          <w:szCs w:val="20"/>
        </w:rPr>
      </w:pPr>
    </w:p>
    <w:p w:rsidR="00383E9E" w:rsidRDefault="00383E9E">
      <w:pPr>
        <w:spacing w:before="120" w:after="120"/>
        <w:ind w:firstLine="510"/>
        <w:jc w:val="both"/>
        <w:rPr>
          <w:i/>
          <w:color w:val="000000"/>
          <w:szCs w:val="20"/>
        </w:rPr>
      </w:pPr>
    </w:p>
    <w:p w:rsidR="00383E9E" w:rsidRDefault="00383E9E">
      <w:pPr>
        <w:spacing w:before="120" w:after="120"/>
        <w:ind w:firstLine="510"/>
        <w:jc w:val="both"/>
        <w:rPr>
          <w:i/>
          <w:color w:val="000000"/>
          <w:sz w:val="23"/>
          <w:szCs w:val="20"/>
        </w:rPr>
      </w:pPr>
    </w:p>
    <w:p w:rsidR="00383E9E" w:rsidRDefault="00383E9E">
      <w:pPr>
        <w:spacing w:before="120" w:after="120"/>
        <w:ind w:firstLine="510"/>
        <w:jc w:val="both"/>
        <w:rPr>
          <w:color w:val="000000"/>
          <w:szCs w:val="20"/>
          <w:u w:color="000000"/>
        </w:rPr>
      </w:pPr>
    </w:p>
    <w:sectPr w:rsidR="00383E9E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5C1" w:rsidRDefault="006965C1">
      <w:r>
        <w:separator/>
      </w:r>
    </w:p>
  </w:endnote>
  <w:endnote w:type="continuationSeparator" w:id="0">
    <w:p w:rsidR="006965C1" w:rsidRDefault="0069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Greek"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383E9E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83E9E" w:rsidRDefault="006965C1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83E9E" w:rsidRDefault="006965C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6393C">
            <w:rPr>
              <w:sz w:val="18"/>
            </w:rPr>
            <w:fldChar w:fldCharType="separate"/>
          </w:r>
          <w:r w:rsidR="0026393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83E9E" w:rsidRDefault="00383E9E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383E9E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83E9E" w:rsidRDefault="006965C1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83E9E" w:rsidRDefault="006965C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6393C">
            <w:rPr>
              <w:sz w:val="18"/>
            </w:rPr>
            <w:fldChar w:fldCharType="separate"/>
          </w:r>
          <w:r w:rsidR="0026393C">
            <w:rPr>
              <w:noProof/>
              <w:sz w:val="18"/>
            </w:rPr>
            <w:t>7</w:t>
          </w:r>
          <w:r>
            <w:rPr>
              <w:sz w:val="18"/>
            </w:rPr>
            <w:fldChar w:fldCharType="end"/>
          </w:r>
        </w:p>
      </w:tc>
    </w:tr>
  </w:tbl>
  <w:p w:rsidR="00383E9E" w:rsidRDefault="00383E9E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5C1" w:rsidRDefault="006965C1">
      <w:r>
        <w:separator/>
      </w:r>
    </w:p>
  </w:footnote>
  <w:footnote w:type="continuationSeparator" w:id="0">
    <w:p w:rsidR="006965C1" w:rsidRDefault="00696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6393C"/>
    <w:rsid w:val="00383E9E"/>
    <w:rsid w:val="006965C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F9CD1F-30FA-4714-AB63-CF61525E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3014</Words>
  <Characters>18084</Characters>
  <Application>Microsoft Office Word</Application>
  <DocSecurity>0</DocSecurity>
  <Lines>150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21056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odmowy ustalenia lokalizacji  inwestycji mieszkaniowej przy ulicy Nowej 29/31 i inwestycji towarzyszących w rejonie ulicy Nowej w Łodzi.</dc:subject>
  <dc:creator>ksudaj</dc:creator>
  <cp:lastModifiedBy>Katarzyna Sudaj</cp:lastModifiedBy>
  <cp:revision>2</cp:revision>
  <dcterms:created xsi:type="dcterms:W3CDTF">2025-08-12T13:30:00Z</dcterms:created>
  <dcterms:modified xsi:type="dcterms:W3CDTF">2025-08-12T13:30:00Z</dcterms:modified>
  <cp:category>Akt prawny</cp:category>
</cp:coreProperties>
</file>