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A75D4">
      <w:pPr>
        <w:ind w:left="5669"/>
        <w:jc w:val="left"/>
      </w:pPr>
      <w:bookmarkStart w:id="0" w:name="_GoBack"/>
      <w:bookmarkEnd w:id="0"/>
      <w:r>
        <w:t>Druk Nr</w:t>
      </w:r>
    </w:p>
    <w:p w:rsidR="00A77B3E" w:rsidRDefault="00AA75D4">
      <w:pPr>
        <w:ind w:left="5669"/>
        <w:jc w:val="left"/>
      </w:pPr>
      <w:r>
        <w:t>Projekt z dnia</w:t>
      </w:r>
    </w:p>
    <w:p w:rsidR="00A77B3E" w:rsidRDefault="00A77B3E">
      <w:pPr>
        <w:ind w:left="5669"/>
        <w:jc w:val="left"/>
      </w:pPr>
    </w:p>
    <w:p w:rsidR="00A77B3E" w:rsidRDefault="00A77B3E">
      <w:pPr>
        <w:ind w:left="5669"/>
        <w:jc w:val="left"/>
      </w:pPr>
    </w:p>
    <w:p w:rsidR="00A77B3E" w:rsidRDefault="00AA75D4">
      <w:pPr>
        <w:jc w:val="center"/>
        <w:rPr>
          <w:b/>
          <w:caps/>
        </w:rPr>
      </w:pPr>
      <w:r>
        <w:rPr>
          <w:b/>
          <w:caps/>
        </w:rPr>
        <w:t>Uchwała Nr ^^^^^^^^^^^^^^^^^^^^</w:t>
      </w:r>
      <w:r>
        <w:rPr>
          <w:b/>
          <w:caps/>
        </w:rPr>
        <w:br/>
        <w:t>Rady Miejskiej w Łodzi</w:t>
      </w:r>
    </w:p>
    <w:p w:rsidR="00A77B3E" w:rsidRDefault="00AA75D4">
      <w:pPr>
        <w:spacing w:before="40" w:after="280"/>
        <w:jc w:val="center"/>
        <w:rPr>
          <w:b/>
          <w:caps/>
        </w:rPr>
      </w:pPr>
      <w:r>
        <w:rPr>
          <w:b/>
        </w:rPr>
        <w:t>z dnia .................... 2025 r.</w:t>
      </w:r>
    </w:p>
    <w:p w:rsidR="00A77B3E" w:rsidRDefault="00AA75D4">
      <w:pPr>
        <w:keepNext/>
        <w:spacing w:after="240"/>
        <w:jc w:val="center"/>
      </w:pPr>
      <w:r>
        <w:rPr>
          <w:b/>
        </w:rPr>
        <w:t>zmieniająca uchwałę w sprawie  ustalenia opłat za usługi przewozowe lokalnego transportu zbiorowego w Łodzi.</w:t>
      </w:r>
    </w:p>
    <w:p w:rsidR="00A77B3E" w:rsidRDefault="00AA75D4">
      <w:pPr>
        <w:keepLines/>
        <w:spacing w:before="120" w:after="120"/>
        <w:ind w:firstLine="567"/>
      </w:pPr>
      <w:r>
        <w:t>Na podstawie art. 7 ust. 1 pkt 4 w związku z art. 18 ust. 2 pkt 15 ustawy z dnia 8 marca 1990 r. o samorządzie gminnym (Dz. U. z 2025 r. poz. 1153), art. 50a ust. 1 i 2 ustawy z dnia 16 grudnia 2010 r. o publicznym transporcie zbiorowym (Dz. U. z 2025 r. poz. 285 i 1173) oraz art. 34a ust. 2 ustawy z dnia 15 listopada 1984 r. – Prawo przewozowe (Dz. U. z 2024 r. poz. 1262), Rada Miejska w Łodzi</w:t>
      </w:r>
    </w:p>
    <w:p w:rsidR="00A77B3E" w:rsidRDefault="00AA75D4">
      <w:pPr>
        <w:spacing w:before="120" w:after="120"/>
        <w:jc w:val="center"/>
        <w:rPr>
          <w:b/>
        </w:rPr>
      </w:pPr>
      <w:r>
        <w:rPr>
          <w:b/>
        </w:rPr>
        <w:t>uchwala, co następuje:</w:t>
      </w:r>
    </w:p>
    <w:p w:rsidR="00A77B3E" w:rsidRDefault="00AA75D4">
      <w:pPr>
        <w:keepLines/>
        <w:spacing w:before="240"/>
        <w:ind w:firstLine="567"/>
      </w:pPr>
      <w:r>
        <w:t>§ 1. W uchwale Nr XLII/1108/17 Rady Miejskiej w Łodzi z dnia 22 lutego 2017 r. w sprawie ustalenia opłat za usługi przewozowe lokalnego transportu zbiorowego w Łodzi (Dz. Urz. Woj. Łódzkiego z 2022 r. poz. 2291), zmienionej uchwałami Rady Miejskiej w Łodzi: Nr LIX/1784/22 z dnia 11 maja 2022 r. (Dz. Urz. Woj. Łódzkiego poz. 3156), Nr LXI/1848/22 z dnia 22 czerwca 2022 r. (Dz. Urz. Woj. Łódzkiego poz. 3817), Nr LXIV/1923/22 z dnia 7 września 2022 r. (Dz. Urz. Woj. Łódzkiego poz. 5187), Nr LXXVI/2291/23 z dnia 31 maja 2023 r. (Dz. Urz. Woj. Łódzkiego poz. 5180), Nr LXXXII/2489/23 z dnia 8 listopada 2023 r. (Dz. Urz. Woj. Łódzkiego poz. 9699), Nr III/56/24 z dnia 5 czerwca 2024 r. (Dz. Urz. Woj. Łódzkiego poz. 5082), Nr X/255/24 z dnia 20 listopada 2024 r. (Dz. Urz. Woj. Łódzkiego poz. 10286) i Nr XVIII/478/25 z dnia 4 czerwca 2025 r. (Dz. Urz. Woj. Łódzkiego poz. 6924), wprowadza się następujące zmiany:</w:t>
      </w:r>
    </w:p>
    <w:p w:rsidR="00A77B3E" w:rsidRDefault="00AA75D4">
      <w:pPr>
        <w:spacing w:before="120" w:after="120"/>
        <w:ind w:left="227" w:hanging="227"/>
      </w:pPr>
      <w:r>
        <w:t>1) w § 1 ust. 2 otrzymuje brzmienie:</w:t>
      </w:r>
    </w:p>
    <w:p w:rsidR="00A77B3E" w:rsidRDefault="00AA75D4">
      <w:pPr>
        <w:keepLines/>
        <w:spacing w:before="120" w:after="120"/>
        <w:ind w:left="340" w:firstLine="454"/>
      </w:pPr>
      <w:r>
        <w:t>„2. Wysokość cen urzędowych za usługi przewozowe realizowane lokalnym transportem zbiorowym w Łodzi określają załączniki Nr 2-5 do uchwały.”;</w:t>
      </w:r>
    </w:p>
    <w:p w:rsidR="00A77B3E" w:rsidRDefault="00AA75D4">
      <w:pPr>
        <w:spacing w:before="120" w:after="120"/>
        <w:ind w:left="227" w:hanging="227"/>
      </w:pPr>
      <w:r>
        <w:t>2) w przepisach taryfowych w lokalnym transporcie zbiorowym Miasta Łodzi, stanowiących załącznik Nr 1 do uchwały:</w:t>
      </w:r>
    </w:p>
    <w:p w:rsidR="00A77B3E" w:rsidRDefault="00AA75D4">
      <w:pPr>
        <w:keepLines/>
        <w:spacing w:before="120" w:after="120"/>
        <w:ind w:left="454" w:hanging="227"/>
      </w:pPr>
      <w:r>
        <w:t>a) w § 3 po ust. 6 dodaje się ust. 6a w brzmieniu:</w:t>
      </w:r>
    </w:p>
    <w:p w:rsidR="00A77B3E" w:rsidRDefault="00AA75D4">
      <w:pPr>
        <w:keepLines/>
        <w:spacing w:before="120" w:after="120"/>
        <w:ind w:left="567" w:firstLine="454"/>
      </w:pPr>
      <w:r>
        <w:t>„6a. Organizatorom imprez i wydarzeń biznesowych, kulturalnych, naukowych, religijnych, sportowych lub charytatywnych, których liczba uczestników wynosi co najmniej 100 osób:</w:t>
      </w:r>
    </w:p>
    <w:p w:rsidR="00A77B3E" w:rsidRDefault="00AA75D4">
      <w:pPr>
        <w:spacing w:before="120" w:after="120"/>
        <w:ind w:left="794" w:hanging="227"/>
      </w:pPr>
      <w:r>
        <w:t>1) posiadających pozytywną rekomendację zespołu, powołanego zarządzeniem Prezydenta Miasta Łodzi, w skład którego wejdą przedstawiciele:</w:t>
      </w:r>
    </w:p>
    <w:p w:rsidR="00A77B3E" w:rsidRDefault="00AA75D4">
      <w:pPr>
        <w:keepLines/>
        <w:spacing w:before="120" w:after="120"/>
        <w:ind w:left="1021" w:hanging="227"/>
      </w:pPr>
      <w:r>
        <w:t>a) Urzędu Miasta Łodzi,</w:t>
      </w:r>
    </w:p>
    <w:p w:rsidR="00A77B3E" w:rsidRDefault="00AA75D4">
      <w:pPr>
        <w:keepLines/>
        <w:spacing w:before="120" w:after="120"/>
        <w:ind w:left="1021" w:hanging="227"/>
      </w:pPr>
      <w:r>
        <w:t>b) Komisji Promocji Miasta i Współpracy Zagranicznej Rady Miejskiej w Łodzi,</w:t>
      </w:r>
    </w:p>
    <w:p w:rsidR="00A77B3E" w:rsidRDefault="00AA75D4">
      <w:pPr>
        <w:keepLines/>
        <w:spacing w:before="120" w:after="120"/>
        <w:ind w:left="1021" w:hanging="227"/>
      </w:pPr>
      <w:r>
        <w:t>c) Komisji Transportu i Ruchu Drogowego Rady Miejskiej w Łodzi,</w:t>
      </w:r>
    </w:p>
    <w:p w:rsidR="00A77B3E" w:rsidRDefault="00AA75D4">
      <w:pPr>
        <w:keepLines/>
        <w:spacing w:before="120" w:after="120"/>
        <w:ind w:left="1021" w:hanging="227"/>
      </w:pPr>
      <w:r>
        <w:t>d) Łódź Convention Bureau działającego w ramach Łódzkiej Organizacji Turystycznej albo</w:t>
      </w:r>
    </w:p>
    <w:p w:rsidR="00A77B3E" w:rsidRDefault="00AA75D4">
      <w:pPr>
        <w:spacing w:before="120" w:after="120"/>
        <w:ind w:left="794" w:hanging="227"/>
      </w:pPr>
      <w:r>
        <w:t>2) objętych Patronatem Prezydenta Miasta Łodzi oraz posiadających pozytywną rekomendację zespołu, o którym mowa w pkt 1, albo</w:t>
      </w:r>
    </w:p>
    <w:p w:rsidR="00A77B3E" w:rsidRDefault="00AA75D4">
      <w:pPr>
        <w:spacing w:before="120" w:after="120"/>
        <w:ind w:left="794" w:hanging="227"/>
      </w:pPr>
      <w:r>
        <w:t>3) organizowanych przez podmioty działające w ramach Holdingu ŁÓDŹ Sp. z o.o.</w:t>
      </w:r>
    </w:p>
    <w:p w:rsidR="00A77B3E" w:rsidRDefault="00AA75D4">
      <w:pPr>
        <w:keepLines/>
        <w:spacing w:before="120" w:after="120"/>
        <w:ind w:left="794" w:hanging="113"/>
      </w:pPr>
      <w:fldSimple w:instr="MERGEFIELD COMMONPART_OF_POINTS \* MERGEFORMAT">
        <w:r>
          <w:t> – </w:t>
        </w:r>
      </w:fldSimple>
      <w:r>
        <w:t>przysługuje możliwość wniesienia opłaty za przejazd, w wysokości określonej w załączniku Nr 5 do uchwały.”,</w:t>
      </w:r>
    </w:p>
    <w:p w:rsidR="00A77B3E" w:rsidRDefault="00AA75D4">
      <w:pPr>
        <w:keepLines/>
        <w:spacing w:before="120" w:after="120"/>
        <w:ind w:left="454" w:hanging="227"/>
      </w:pPr>
      <w:r>
        <w:t>b) w § 4:</w:t>
      </w:r>
    </w:p>
    <w:p w:rsidR="00A77B3E" w:rsidRDefault="00AA75D4">
      <w:pPr>
        <w:keepLines/>
        <w:spacing w:before="120" w:after="120"/>
        <w:ind w:left="680" w:hanging="113"/>
      </w:pPr>
      <w:r>
        <w:t>- pkt 30 otrzymuje brzmienie: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393"/>
        <w:gridCol w:w="3896"/>
      </w:tblGrid>
      <w:tr w:rsidR="00E975DB">
        <w:tc>
          <w:tcPr>
            <w:tcW w:w="555" w:type="dxa"/>
            <w:tcBorders>
              <w:top w:val="single" w:sz="2" w:space="0" w:color="auto"/>
              <w:left w:val="single" w:sz="2" w:space="0" w:color="auto"/>
              <w:bottom w:val="single" w:sz="2" w:space="0" w:color="auto"/>
              <w:right w:val="single" w:sz="2" w:space="0" w:color="auto"/>
            </w:tcBorders>
            <w:tcMar>
              <w:top w:w="100" w:type="dxa"/>
            </w:tcMar>
          </w:tcPr>
          <w:p w:rsidR="00A77B3E" w:rsidRDefault="00AA75D4">
            <w:pPr>
              <w:jc w:val="left"/>
            </w:pPr>
            <w:r>
              <w:t>30)</w:t>
            </w:r>
          </w:p>
        </w:tc>
        <w:tc>
          <w:tcPr>
            <w:tcW w:w="5295" w:type="dxa"/>
            <w:tcBorders>
              <w:top w:val="single" w:sz="2" w:space="0" w:color="auto"/>
              <w:left w:val="single" w:sz="2" w:space="0" w:color="auto"/>
              <w:bottom w:val="single" w:sz="2" w:space="0" w:color="auto"/>
              <w:right w:val="single" w:sz="2" w:space="0" w:color="auto"/>
            </w:tcBorders>
            <w:tcMar>
              <w:top w:w="100" w:type="dxa"/>
            </w:tcMar>
          </w:tcPr>
          <w:p w:rsidR="00A77B3E" w:rsidRDefault="00AA75D4">
            <w:pPr>
              <w:jc w:val="left"/>
            </w:pPr>
            <w:r>
              <w:t>podróżujący w strefie 1 lub 2 w dniu</w:t>
            </w:r>
            <w:r>
              <w:br/>
              <w:t>1 listopada 2025 r.</w:t>
            </w:r>
          </w:p>
        </w:tc>
        <w:tc>
          <w:tcPr>
            <w:tcW w:w="382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left"/>
            </w:pPr>
          </w:p>
        </w:tc>
      </w:tr>
    </w:tbl>
    <w:p w:rsidR="00A77B3E" w:rsidRDefault="00AA75D4">
      <w:pPr>
        <w:keepLines/>
        <w:spacing w:before="120" w:after="120"/>
        <w:ind w:left="680" w:hanging="113"/>
      </w:pPr>
      <w:r>
        <w:t>- uchyla się pkt 31;</w:t>
      </w:r>
    </w:p>
    <w:p w:rsidR="00A77B3E" w:rsidRDefault="00AA75D4">
      <w:pPr>
        <w:spacing w:before="120" w:after="120"/>
        <w:ind w:left="227" w:hanging="227"/>
      </w:pPr>
      <w:r>
        <w:t>3) dodaje się załącznik Nr 5 do uchwały w brzmieniu jak w załączniku do niniejszej uchwały.</w:t>
      </w:r>
    </w:p>
    <w:p w:rsidR="00A77B3E" w:rsidRDefault="00AA75D4">
      <w:pPr>
        <w:keepLines/>
        <w:spacing w:before="240"/>
        <w:ind w:firstLine="567"/>
      </w:pPr>
      <w:r>
        <w:t>§ 2. Wykonanie uchwały powierza się Prezydentowi Miasta Łodzi.</w:t>
      </w:r>
    </w:p>
    <w:p w:rsidR="00A77B3E" w:rsidRDefault="00AA75D4">
      <w:pPr>
        <w:keepNext/>
        <w:keepLines/>
        <w:spacing w:before="240"/>
        <w:ind w:firstLine="567"/>
      </w:pPr>
      <w:r>
        <w:t>§ 3. Uchwała wchodzi w życie po upływie 14 dni od dnia ogłoszenia w Dzienniku Urzędowym Województwa Łódzkiego, z wyjątkiem § 1 pkt 2 lit. b tiret pierwsze, który wchodzi w życie z dniem 1 listopada 2025 r.</w:t>
      </w:r>
    </w:p>
    <w:p w:rsidR="00A77B3E" w:rsidRDefault="00AA75D4">
      <w:pPr>
        <w:keepNext/>
        <w:keepLines/>
        <w:ind w:firstLine="227"/>
      </w:pPr>
      <w:r>
        <w:t>  </w:t>
      </w:r>
    </w:p>
    <w:p w:rsidR="00A77B3E" w:rsidRDefault="00AA75D4">
      <w:pPr>
        <w:keepNext/>
      </w:pPr>
      <w:r>
        <w:rPr>
          <w:color w:val="000000"/>
        </w:rPr>
        <w:t> </w:t>
      </w:r>
    </w:p>
    <w:tbl>
      <w:tblPr>
        <w:tblW w:w="5000" w:type="pct"/>
        <w:tblCellMar>
          <w:left w:w="0" w:type="dxa"/>
          <w:right w:w="0" w:type="dxa"/>
        </w:tblCellMar>
        <w:tblLook w:val="04A0" w:firstRow="1" w:lastRow="0" w:firstColumn="1" w:lastColumn="0" w:noHBand="0" w:noVBand="1"/>
      </w:tblPr>
      <w:tblGrid>
        <w:gridCol w:w="4643"/>
        <w:gridCol w:w="4995"/>
      </w:tblGrid>
      <w:tr w:rsidR="00E975DB">
        <w:tc>
          <w:tcPr>
            <w:tcW w:w="2500" w:type="pct"/>
            <w:tcMar>
              <w:top w:w="0" w:type="dxa"/>
              <w:left w:w="0" w:type="dxa"/>
              <w:bottom w:w="0" w:type="dxa"/>
              <w:right w:w="0" w:type="dxa"/>
            </w:tcMar>
            <w:hideMark/>
          </w:tcPr>
          <w:p w:rsidR="00E975DB" w:rsidRDefault="00E975DB">
            <w:pPr>
              <w:keepNext/>
              <w:keepLines/>
              <w:jc w:val="left"/>
              <w:rPr>
                <w:color w:val="000000"/>
              </w:rPr>
            </w:pPr>
          </w:p>
        </w:tc>
        <w:tc>
          <w:tcPr>
            <w:tcW w:w="2500" w:type="pct"/>
            <w:tcMar>
              <w:top w:w="0" w:type="dxa"/>
              <w:left w:w="0" w:type="dxa"/>
              <w:bottom w:w="0" w:type="dxa"/>
              <w:right w:w="0" w:type="dxa"/>
            </w:tcMar>
            <w:hideMark/>
          </w:tcPr>
          <w:p w:rsidR="00E975DB" w:rsidRDefault="00AA75D4">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AA75D4">
      <w:pPr>
        <w:ind w:firstLine="227"/>
      </w:pPr>
      <w:r>
        <w:t>Projektodawcą jest</w:t>
      </w:r>
    </w:p>
    <w:p w:rsidR="00A77B3E" w:rsidRDefault="00AA75D4">
      <w:pPr>
        <w:ind w:firstLine="227"/>
        <w:sectPr w:rsidR="00A77B3E">
          <w:footerReference w:type="default" r:id="rId7"/>
          <w:endnotePr>
            <w:numFmt w:val="decimal"/>
          </w:endnotePr>
          <w:pgSz w:w="11906" w:h="16838"/>
          <w:pgMar w:top="850" w:right="1134" w:bottom="850" w:left="1134" w:header="708" w:footer="708" w:gutter="0"/>
          <w:cols w:space="708"/>
          <w:docGrid w:linePitch="360"/>
        </w:sectPr>
      </w:pPr>
      <w:r>
        <w:t>Prezydent Miasta Łodzi</w:t>
      </w:r>
    </w:p>
    <w:p w:rsidR="00A77B3E" w:rsidRDefault="00AA75D4">
      <w:pPr>
        <w:keepNext/>
        <w:spacing w:before="120" w:after="120"/>
        <w:ind w:left="6018"/>
        <w:jc w:val="left"/>
        <w:rPr>
          <w:color w:val="000000"/>
          <w:u w:color="000000"/>
        </w:rPr>
      </w:pPr>
      <w:r>
        <w:lastRenderedPageBreak/>
        <w:fldChar w:fldCharType="begin"/>
      </w:r>
      <w:r>
        <w:fldChar w:fldCharType="end"/>
      </w:r>
      <w:r>
        <w:t>Załącznik</w:t>
      </w:r>
      <w:r>
        <w:br/>
        <w:t>do uchwały Nr</w:t>
      </w:r>
      <w:r>
        <w:br/>
        <w:t>Rady Miejskiej w Łodzi</w:t>
      </w:r>
      <w:r>
        <w:br/>
        <w:t>z dnia</w:t>
      </w:r>
      <w:r>
        <w:br/>
        <w:t>-------------------------------</w:t>
      </w:r>
      <w:r>
        <w:br/>
        <w:t>Załącznik Nr 5</w:t>
      </w:r>
      <w:r>
        <w:br/>
        <w:t>do uchwały Nr XLII/1108/17</w:t>
      </w:r>
      <w:r>
        <w:br/>
        <w:t>Rady Miejskiej w Łodzi</w:t>
      </w:r>
      <w:r>
        <w:br/>
        <w:t>z dnia 22 lutego 2017 r.</w:t>
      </w:r>
    </w:p>
    <w:p w:rsidR="00A77B3E" w:rsidRDefault="00AA75D4">
      <w:pPr>
        <w:keepNext/>
        <w:spacing w:after="240"/>
        <w:jc w:val="center"/>
        <w:rPr>
          <w:color w:val="000000"/>
          <w:u w:color="000000"/>
        </w:rPr>
      </w:pPr>
      <w:r>
        <w:rPr>
          <w:b/>
          <w:color w:val="000000"/>
          <w:u w:color="000000"/>
        </w:rPr>
        <w:t>Wysokość opłat za przejazdy lokalnym transportem zbiorowym w Łodzi – przejazdy zorganizowane</w:t>
      </w:r>
    </w:p>
    <w:p w:rsidR="00A77B3E" w:rsidRDefault="00AA75D4">
      <w:pPr>
        <w:ind w:firstLine="227"/>
        <w:rPr>
          <w:color w:val="000000"/>
          <w:u w:color="000000"/>
        </w:rPr>
      </w:pPr>
      <w:r>
        <w:rPr>
          <w:color w:val="000000"/>
          <w:u w:color="000000"/>
        </w:rPr>
        <w:t>Tabela 1. Wysokość opłaty za przejazd dla organizatorów wydarzeń biznesowych, kulturalnych, naukowych, religijnych, sportowych lub charytatywnych posiadających pozytywną rekomendację zespołu, powołanego zarządzeniem Prezydenta Miasta Łodzi, ważna w strefach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63"/>
        <w:gridCol w:w="2319"/>
        <w:gridCol w:w="2319"/>
        <w:gridCol w:w="2305"/>
      </w:tblGrid>
      <w:tr w:rsidR="00E975DB">
        <w:trPr>
          <w:trHeight w:val="255"/>
        </w:trPr>
        <w:tc>
          <w:tcPr>
            <w:tcW w:w="6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Lp.</w:t>
            </w:r>
          </w:p>
        </w:tc>
        <w:tc>
          <w:tcPr>
            <w:tcW w:w="24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Czas ważności</w:t>
            </w:r>
          </w:p>
        </w:tc>
        <w:tc>
          <w:tcPr>
            <w:tcW w:w="7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Opłata za 1 osobę</w:t>
            </w:r>
          </w:p>
        </w:tc>
      </w:tr>
      <w:tr w:rsidR="00E975DB">
        <w:trPr>
          <w:trHeight w:val="255"/>
        </w:trPr>
        <w:tc>
          <w:tcPr>
            <w:tcW w:w="6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od 100 do 999 uczestników</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od 1000 do 4999 uczestników</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od 5000 uczestników</w:t>
            </w:r>
          </w:p>
        </w:tc>
      </w:tr>
      <w:tr w:rsidR="00E975DB">
        <w:trPr>
          <w:trHeight w:val="25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 dzień</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4,50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4,00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2,70 zł</w:t>
            </w:r>
          </w:p>
        </w:tc>
      </w:tr>
      <w:tr w:rsidR="00E975DB">
        <w:trPr>
          <w:trHeight w:val="25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 dni</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8,60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7,60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5,20 zł</w:t>
            </w:r>
          </w:p>
        </w:tc>
      </w:tr>
      <w:tr w:rsidR="00E975DB">
        <w:trPr>
          <w:trHeight w:val="25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3.</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3 dni</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12,60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11,20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7,60 zł</w:t>
            </w:r>
          </w:p>
        </w:tc>
      </w:tr>
      <w:tr w:rsidR="00E975DB">
        <w:trPr>
          <w:trHeight w:val="27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4.</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4 dni</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16,20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14,40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9,80 zł</w:t>
            </w:r>
          </w:p>
        </w:tc>
      </w:tr>
      <w:tr w:rsidR="00E975DB">
        <w:trPr>
          <w:trHeight w:val="25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5.</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5 dni</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19,80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17,60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11,90 zł</w:t>
            </w:r>
          </w:p>
        </w:tc>
      </w:tr>
      <w:tr w:rsidR="00E975DB">
        <w:trPr>
          <w:trHeight w:val="25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6.</w:t>
            </w:r>
          </w:p>
        </w:tc>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każdy następny dzień powyżej 5.</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2,50 zł</w:t>
            </w:r>
          </w:p>
        </w:tc>
        <w:tc>
          <w:tcPr>
            <w:tcW w:w="2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2,20 zł</w:t>
            </w:r>
          </w:p>
        </w:tc>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1,60 zł</w:t>
            </w:r>
          </w:p>
        </w:tc>
      </w:tr>
    </w:tbl>
    <w:p w:rsidR="00A77B3E" w:rsidRDefault="00AA75D4">
      <w:pPr>
        <w:ind w:firstLine="227"/>
        <w:rPr>
          <w:color w:val="000000"/>
          <w:u w:color="000000"/>
        </w:rPr>
      </w:pPr>
      <w:r>
        <w:rPr>
          <w:color w:val="000000"/>
          <w:u w:color="000000"/>
        </w:rPr>
        <w:t>Tabela 2. Wysokość opłaty zryczałtowanej za przejazd dla organizatorów wydarzeń biznesowych, kulturalnych, naukowych, religijnych, sportowych lub charytatywnych, objętych Patronatem Prezydenta Miasta Łodzi oraz posiadających rekomendację zespołu, powołanego zarządzeniem Prezydenta Miasta Łodzi albo organizowanych przez podmioty działające w ramach Holdingu ŁÓDŹ Sp. z o.o., ważna w strefach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0"/>
        <w:gridCol w:w="1311"/>
        <w:gridCol w:w="1297"/>
        <w:gridCol w:w="1366"/>
        <w:gridCol w:w="1311"/>
        <w:gridCol w:w="1352"/>
        <w:gridCol w:w="1379"/>
      </w:tblGrid>
      <w:tr w:rsidR="00E975DB">
        <w:trPr>
          <w:trHeight w:val="222"/>
        </w:trPr>
        <w:tc>
          <w:tcPr>
            <w:tcW w:w="6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Lp.</w:t>
            </w:r>
          </w:p>
        </w:tc>
        <w:tc>
          <w:tcPr>
            <w:tcW w:w="13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Czas ważności</w:t>
            </w:r>
          </w:p>
        </w:tc>
        <w:tc>
          <w:tcPr>
            <w:tcW w:w="86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Opłata ryczałtowa</w:t>
            </w:r>
          </w:p>
        </w:tc>
      </w:tr>
      <w:tr w:rsidR="00E975DB">
        <w:trPr>
          <w:trHeight w:val="550"/>
        </w:trPr>
        <w:tc>
          <w:tcPr>
            <w:tcW w:w="6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 xml:space="preserve">od 100 </w:t>
            </w:r>
          </w:p>
          <w:p w:rsidR="00E975DB" w:rsidRDefault="00AA75D4">
            <w:pPr>
              <w:jc w:val="center"/>
            </w:pPr>
            <w:r>
              <w:t>do 199 uczestni-ków</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 xml:space="preserve">od 200 </w:t>
            </w:r>
          </w:p>
          <w:p w:rsidR="00E975DB" w:rsidRDefault="00AA75D4">
            <w:pPr>
              <w:jc w:val="center"/>
            </w:pPr>
            <w:r>
              <w:t>do 499 uczestni-ków</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od 500</w:t>
            </w:r>
          </w:p>
          <w:p w:rsidR="00E975DB" w:rsidRDefault="00AA75D4">
            <w:pPr>
              <w:jc w:val="center"/>
            </w:pPr>
            <w:r>
              <w:t xml:space="preserve"> do 999 uczestni-</w:t>
            </w:r>
          </w:p>
          <w:p w:rsidR="00E975DB" w:rsidRDefault="00AA75D4">
            <w:pPr>
              <w:jc w:val="center"/>
            </w:pPr>
            <w:r>
              <w:t>ków</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 xml:space="preserve">od 1000 </w:t>
            </w:r>
          </w:p>
          <w:p w:rsidR="00E975DB" w:rsidRDefault="00AA75D4">
            <w:pPr>
              <w:jc w:val="center"/>
            </w:pPr>
            <w:r>
              <w:t>do 4999 uczestni-</w:t>
            </w:r>
          </w:p>
          <w:p w:rsidR="00E975DB" w:rsidRDefault="00AA75D4">
            <w:pPr>
              <w:jc w:val="center"/>
            </w:pPr>
            <w:r>
              <w:t>ków</w:t>
            </w: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rPr>
                <w:color w:val="000000"/>
                <w:u w:color="000000"/>
              </w:rPr>
              <w:t>od 5000</w:t>
            </w:r>
            <w:r>
              <w:rPr>
                <w:color w:val="000000"/>
                <w:u w:color="000000"/>
              </w:rPr>
              <w:br/>
              <w:t>do 45000  uczestni-</w:t>
            </w:r>
          </w:p>
          <w:p w:rsidR="00A77B3E" w:rsidRDefault="00AA75D4">
            <w:pPr>
              <w:jc w:val="center"/>
              <w:rPr>
                <w:color w:val="000000"/>
                <w:u w:color="000000"/>
              </w:rPr>
            </w:pPr>
            <w:r>
              <w:rPr>
                <w:color w:val="000000"/>
                <w:u w:color="000000"/>
              </w:rPr>
              <w:t>ków</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powyżej 45 000</w:t>
            </w:r>
          </w:p>
          <w:p w:rsidR="00E975DB" w:rsidRDefault="00AA75D4">
            <w:pPr>
              <w:jc w:val="center"/>
            </w:pPr>
            <w:r>
              <w:t>uczestni-</w:t>
            </w:r>
          </w:p>
          <w:p w:rsidR="00E975DB" w:rsidRDefault="00AA75D4">
            <w:pPr>
              <w:jc w:val="center"/>
            </w:pPr>
            <w:r>
              <w:t>ków</w:t>
            </w:r>
          </w:p>
        </w:tc>
      </w:tr>
      <w:tr w:rsidR="00E975DB">
        <w:trPr>
          <w:trHeight w:val="550"/>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do 5 dni</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1 200,00 zł</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1 800,00 zł</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3 600,00 zł</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6 000,00 zł</w:t>
            </w: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12 000,00 zł</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24 000,00 zł</w:t>
            </w:r>
          </w:p>
        </w:tc>
      </w:tr>
      <w:tr w:rsidR="00E975DB">
        <w:trPr>
          <w:trHeight w:val="550"/>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 xml:space="preserve">każdy następny dzień powyżej </w:t>
            </w:r>
          </w:p>
          <w:p w:rsidR="00E975DB" w:rsidRDefault="00AA75D4">
            <w:pPr>
              <w:jc w:val="center"/>
            </w:pPr>
            <w:r>
              <w:t>5.</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180,00 zł</w:t>
            </w:r>
          </w:p>
        </w:tc>
        <w:tc>
          <w:tcPr>
            <w:tcW w:w="1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270,00 zł</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540,00 zł</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900,00 zł</w:t>
            </w: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1 800,00 zł</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A75D4">
            <w:pPr>
              <w:jc w:val="center"/>
              <w:rPr>
                <w:color w:val="000000"/>
                <w:u w:color="000000"/>
              </w:rPr>
            </w:pPr>
            <w:r>
              <w:t>3 600,00 zł</w:t>
            </w:r>
          </w:p>
        </w:tc>
      </w:tr>
    </w:tbl>
    <w:p w:rsidR="00A77B3E" w:rsidRDefault="00A77B3E">
      <w:pPr>
        <w:rPr>
          <w:color w:val="000000"/>
          <w:u w:color="000000"/>
        </w:rPr>
        <w:sectPr w:rsidR="00A77B3E">
          <w:footerReference w:type="default" r:id="rId8"/>
          <w:endnotePr>
            <w:numFmt w:val="decimal"/>
          </w:endnotePr>
          <w:pgSz w:w="11906" w:h="16838"/>
          <w:pgMar w:top="850" w:right="1134" w:bottom="850" w:left="1134" w:header="708" w:footer="708" w:gutter="0"/>
          <w:pgNumType w:start="1"/>
          <w:cols w:space="708"/>
          <w:docGrid w:linePitch="360"/>
        </w:sectPr>
      </w:pPr>
    </w:p>
    <w:p w:rsidR="00E975DB" w:rsidRDefault="00AA75D4">
      <w:pPr>
        <w:jc w:val="center"/>
        <w:rPr>
          <w:szCs w:val="20"/>
          <w:lang w:val="x-none" w:eastAsia="en-US" w:bidi="ar-SA"/>
        </w:rPr>
      </w:pPr>
      <w:r>
        <w:rPr>
          <w:b/>
          <w:szCs w:val="20"/>
          <w:lang w:val="x-none" w:eastAsia="en-US" w:bidi="ar-SA"/>
        </w:rPr>
        <w:lastRenderedPageBreak/>
        <w:t>Uzasadnienie</w:t>
      </w:r>
    </w:p>
    <w:p w:rsidR="00E975DB" w:rsidRDefault="00AA75D4">
      <w:pPr>
        <w:spacing w:before="120" w:after="120"/>
        <w:rPr>
          <w:b/>
          <w:szCs w:val="20"/>
        </w:rPr>
      </w:pPr>
      <w:r>
        <w:rPr>
          <w:b/>
          <w:szCs w:val="20"/>
        </w:rPr>
        <w:t xml:space="preserve">do projektu uchwały Rady Miejskiej w Łodzi zmieniającej uchwałę w sprawie ustalenia opłat </w:t>
      </w:r>
      <w:r>
        <w:rPr>
          <w:b/>
          <w:szCs w:val="20"/>
        </w:rPr>
        <w:br/>
        <w:t xml:space="preserve">za usługi przewozowe lokalnego transportu zbiorowego w Łodzi. </w:t>
      </w:r>
    </w:p>
    <w:p w:rsidR="00E975DB" w:rsidRDefault="00AA75D4">
      <w:pPr>
        <w:ind w:firstLine="720"/>
        <w:rPr>
          <w:b/>
          <w:szCs w:val="20"/>
          <w:lang w:val="x-none" w:eastAsia="en-US" w:bidi="ar-SA"/>
        </w:rPr>
      </w:pPr>
      <w:r>
        <w:rPr>
          <w:szCs w:val="20"/>
          <w:lang w:val="x-none" w:eastAsia="en-US" w:bidi="ar-SA"/>
        </w:rPr>
        <w:t xml:space="preserve">Projekt uchwały zakłada wprowadzenie specjalnej oferty taryfowej dla organizatorów imprez </w:t>
      </w:r>
      <w:r>
        <w:rPr>
          <w:szCs w:val="20"/>
        </w:rPr>
        <w:br/>
      </w:r>
      <w:r>
        <w:rPr>
          <w:szCs w:val="20"/>
          <w:lang w:val="x-none" w:eastAsia="en-US" w:bidi="ar-SA"/>
        </w:rPr>
        <w:t>i wydarzeń</w:t>
      </w:r>
      <w:r>
        <w:rPr>
          <w:szCs w:val="20"/>
        </w:rPr>
        <w:t xml:space="preserve"> biznesowych, </w:t>
      </w:r>
      <w:r>
        <w:rPr>
          <w:szCs w:val="20"/>
          <w:lang w:val="x-none" w:eastAsia="en-US" w:bidi="ar-SA"/>
        </w:rPr>
        <w:t>kulturalnych, naukowych, religijnych, sportowych lub charytatywnych, polegającej na  umożliwieniu uiszczenia opłaty za przejazd jednorazowo za całą grupę uczestników, przy czym ich liczba nie może być mniejsza niż 100 osób. Sposób oraz zasady naliczenia opłaty określa załącznik</w:t>
      </w:r>
      <w:r>
        <w:rPr>
          <w:szCs w:val="20"/>
        </w:rPr>
        <w:t xml:space="preserve"> </w:t>
      </w:r>
      <w:r>
        <w:rPr>
          <w:szCs w:val="20"/>
          <w:lang w:val="x-none" w:eastAsia="en-US" w:bidi="ar-SA"/>
        </w:rPr>
        <w:t>Nr 5 do uchwały.</w:t>
      </w:r>
    </w:p>
    <w:p w:rsidR="00E975DB" w:rsidRDefault="00AA75D4">
      <w:pPr>
        <w:ind w:firstLine="720"/>
        <w:rPr>
          <w:b/>
          <w:szCs w:val="20"/>
          <w:lang w:val="x-none" w:eastAsia="en-US" w:bidi="ar-SA"/>
        </w:rPr>
      </w:pPr>
      <w:r>
        <w:rPr>
          <w:szCs w:val="20"/>
          <w:lang w:val="x-none" w:eastAsia="en-US" w:bidi="ar-SA"/>
        </w:rPr>
        <w:t>Wprowadzenie tego typu oferty ma na celu zwiększenie dostępności wydarzeń kulturalnych, sportowych i rozrywkowych dla widzów, promocję miasta jako atrakcyjnej destynacji dla wydarzeń z sektora organizacji kongresów, konferencji, targów, a także usprawnienie organizacji transportu publicznego w dniach wzmożonego ruchu. Wniesienie jednej zintegrowanej opłaty przez organizatora wydarzenia może zachęcić jego uczestników do korzystania z komunikacji miejskiej, jako bardziej  ekologicznego środka transportu, na rzecz rezygnacji z transportu indywidualnego.</w:t>
      </w:r>
    </w:p>
    <w:p w:rsidR="00E975DB" w:rsidRDefault="00AA75D4">
      <w:pPr>
        <w:ind w:firstLine="720"/>
        <w:rPr>
          <w:b/>
          <w:szCs w:val="20"/>
          <w:lang w:val="x-none" w:eastAsia="en-US" w:bidi="ar-SA"/>
        </w:rPr>
      </w:pPr>
      <w:r>
        <w:rPr>
          <w:szCs w:val="20"/>
          <w:lang w:val="x-none" w:eastAsia="en-US" w:bidi="ar-SA"/>
        </w:rPr>
        <w:t>Dodatkowo rozwiązanie to zwiększy dostępność kluczowych łódzkich centrów konferencyjnych i eventowych, takich jak: EC1 – Miasto Kultury, Atlas Arena, Orientarium ZOO Łódź czy EXPO Łódź, które nie posiadają w bezpośrednim sąsiedztwie wystarczającej bazy noclegowej. Dzięki zapewnieniu możliwości podróżowania komunikacją miejską</w:t>
      </w:r>
      <w:r>
        <w:rPr>
          <w:szCs w:val="20"/>
        </w:rPr>
        <w:t>,</w:t>
      </w:r>
      <w:r>
        <w:rPr>
          <w:szCs w:val="20"/>
          <w:lang w:val="x-none" w:eastAsia="en-US" w:bidi="ar-SA"/>
        </w:rPr>
        <w:t xml:space="preserve"> uczestnicy wydarzeń będą mogli łatwo i wygodnie przemieszczać się pomiędzy miejscem wydarzenia a innymi częściami miasta, w których zlokalizowane </w:t>
      </w:r>
      <w:r>
        <w:rPr>
          <w:szCs w:val="20"/>
        </w:rPr>
        <w:br/>
      </w:r>
      <w:r>
        <w:rPr>
          <w:szCs w:val="20"/>
          <w:lang w:val="x-none" w:eastAsia="en-US" w:bidi="ar-SA"/>
        </w:rPr>
        <w:t>są hotele oraz inne punkty o charakterze usługowo-turystycznym.</w:t>
      </w:r>
    </w:p>
    <w:p w:rsidR="00E975DB" w:rsidRDefault="00AA75D4">
      <w:pPr>
        <w:ind w:firstLine="643"/>
        <w:rPr>
          <w:b/>
          <w:szCs w:val="20"/>
          <w:lang w:val="x-none" w:eastAsia="en-US" w:bidi="ar-SA"/>
        </w:rPr>
      </w:pPr>
      <w:r>
        <w:rPr>
          <w:szCs w:val="20"/>
          <w:lang w:val="x-none" w:eastAsia="en-US" w:bidi="ar-SA"/>
        </w:rPr>
        <w:t>Korzyści dla miasta z zaproponowanego rozwiązania obejmują m.in.:</w:t>
      </w:r>
    </w:p>
    <w:p w:rsidR="00E975DB" w:rsidRDefault="00AA75D4">
      <w:pPr>
        <w:numPr>
          <w:ilvl w:val="0"/>
          <w:numId w:val="1"/>
        </w:numPr>
        <w:spacing w:line="276" w:lineRule="auto"/>
        <w:rPr>
          <w:szCs w:val="20"/>
          <w:lang w:val="x-none" w:eastAsia="en-US" w:bidi="ar-SA"/>
        </w:rPr>
      </w:pPr>
      <w:r>
        <w:rPr>
          <w:szCs w:val="20"/>
          <w:lang w:val="x-none" w:eastAsia="en-US" w:bidi="ar-SA"/>
        </w:rPr>
        <w:t>zmniejszenie natężenia ruchu drogowego i ograniczenie problemów z parkowaniem w okolicach miejsc wydarzeń,</w:t>
      </w:r>
    </w:p>
    <w:p w:rsidR="00E975DB" w:rsidRDefault="00AA75D4">
      <w:pPr>
        <w:numPr>
          <w:ilvl w:val="0"/>
          <w:numId w:val="1"/>
        </w:numPr>
        <w:spacing w:line="276" w:lineRule="auto"/>
        <w:rPr>
          <w:szCs w:val="20"/>
          <w:lang w:val="x-none" w:eastAsia="en-US" w:bidi="ar-SA"/>
        </w:rPr>
      </w:pPr>
      <w:r>
        <w:rPr>
          <w:szCs w:val="20"/>
          <w:lang w:val="x-none" w:eastAsia="en-US" w:bidi="ar-SA"/>
        </w:rPr>
        <w:t>zwiększenie atrakcyjności Łodzi jako miasta przyjaznego uczestnikom wydarzeń i turystom,</w:t>
      </w:r>
    </w:p>
    <w:p w:rsidR="00E975DB" w:rsidRDefault="00AA75D4">
      <w:pPr>
        <w:numPr>
          <w:ilvl w:val="0"/>
          <w:numId w:val="1"/>
        </w:numPr>
        <w:spacing w:line="276" w:lineRule="auto"/>
        <w:rPr>
          <w:szCs w:val="20"/>
          <w:lang w:val="x-none" w:eastAsia="en-US" w:bidi="ar-SA"/>
        </w:rPr>
      </w:pPr>
      <w:r>
        <w:rPr>
          <w:szCs w:val="20"/>
          <w:lang w:val="x-none" w:eastAsia="en-US" w:bidi="ar-SA"/>
        </w:rPr>
        <w:t>lepsze zarządzanie ruchem pasażerskim w komunikacji miejskiej poprzez przewidywalność zwiększonego zapotrzebowania,</w:t>
      </w:r>
    </w:p>
    <w:p w:rsidR="00E975DB" w:rsidRDefault="00AA75D4">
      <w:pPr>
        <w:numPr>
          <w:ilvl w:val="0"/>
          <w:numId w:val="1"/>
        </w:numPr>
        <w:spacing w:line="276" w:lineRule="auto"/>
        <w:rPr>
          <w:szCs w:val="20"/>
          <w:lang w:val="x-none" w:eastAsia="en-US" w:bidi="ar-SA"/>
        </w:rPr>
      </w:pPr>
      <w:r>
        <w:rPr>
          <w:szCs w:val="20"/>
          <w:lang w:val="x-none" w:eastAsia="en-US" w:bidi="ar-SA"/>
        </w:rPr>
        <w:t>wzrost zainteresowania miastem oraz promocj</w:t>
      </w:r>
      <w:r>
        <w:rPr>
          <w:szCs w:val="20"/>
        </w:rPr>
        <w:t>ę</w:t>
      </w:r>
      <w:r>
        <w:rPr>
          <w:szCs w:val="20"/>
          <w:lang w:val="x-none" w:eastAsia="en-US" w:bidi="ar-SA"/>
        </w:rPr>
        <w:t xml:space="preserve"> lokalnych wydarzeń,</w:t>
      </w:r>
    </w:p>
    <w:p w:rsidR="00E975DB" w:rsidRDefault="00AA75D4">
      <w:pPr>
        <w:numPr>
          <w:ilvl w:val="0"/>
          <w:numId w:val="1"/>
        </w:numPr>
        <w:spacing w:line="276" w:lineRule="auto"/>
        <w:rPr>
          <w:szCs w:val="20"/>
          <w:lang w:val="x-none" w:eastAsia="en-US" w:bidi="ar-SA"/>
        </w:rPr>
      </w:pPr>
      <w:r>
        <w:rPr>
          <w:szCs w:val="20"/>
          <w:lang w:val="x-none" w:eastAsia="en-US" w:bidi="ar-SA"/>
        </w:rPr>
        <w:t>wzmocnienie pozycji Łodzi jako ośrodka konferencyjnego i targowego poprzez poprawę dostępności logistycznej dla uczestników wydarzeń,</w:t>
      </w:r>
    </w:p>
    <w:p w:rsidR="00E975DB" w:rsidRDefault="00AA75D4">
      <w:pPr>
        <w:numPr>
          <w:ilvl w:val="0"/>
          <w:numId w:val="1"/>
        </w:numPr>
        <w:spacing w:line="276" w:lineRule="auto"/>
        <w:rPr>
          <w:szCs w:val="20"/>
          <w:lang w:val="x-none" w:eastAsia="en-US" w:bidi="ar-SA"/>
        </w:rPr>
      </w:pPr>
      <w:r>
        <w:rPr>
          <w:szCs w:val="20"/>
          <w:lang w:val="x-none" w:eastAsia="en-US" w:bidi="ar-SA"/>
        </w:rPr>
        <w:t>poprawę jakości powietrza dzięki redukcji emisji spalin.</w:t>
      </w:r>
    </w:p>
    <w:p w:rsidR="00E975DB" w:rsidRDefault="00AA75D4">
      <w:pPr>
        <w:spacing w:line="276" w:lineRule="auto"/>
        <w:ind w:firstLine="643"/>
        <w:rPr>
          <w:szCs w:val="20"/>
          <w:lang w:val="x-none" w:eastAsia="en-US" w:bidi="ar-SA"/>
        </w:rPr>
      </w:pPr>
      <w:r>
        <w:rPr>
          <w:szCs w:val="20"/>
          <w:lang w:val="x-none" w:eastAsia="en-US" w:bidi="ar-SA"/>
        </w:rPr>
        <w:t>Specjalna oferta taryfowa dla organizatorów wydarzeń wpisuje się w strategię zrównoważonego rozwoju miasta oraz wspiera lokalną kulturę, gospodarkę i turystykę biznesową.</w:t>
      </w:r>
    </w:p>
    <w:p w:rsidR="00E975DB" w:rsidRDefault="00AA75D4">
      <w:pPr>
        <w:spacing w:line="276" w:lineRule="auto"/>
        <w:ind w:firstLine="643"/>
        <w:rPr>
          <w:szCs w:val="20"/>
          <w:lang w:val="x-none" w:eastAsia="en-US" w:bidi="ar-SA"/>
        </w:rPr>
      </w:pPr>
      <w:r>
        <w:rPr>
          <w:szCs w:val="20"/>
          <w:lang w:val="x-none" w:eastAsia="en-US" w:bidi="ar-SA"/>
        </w:rPr>
        <w:t>Ponadto projekt zakłada wprowadzenie w § 4 pkt 30 przepisów taryfowych bezpłatnej komunikacji miejskiej w dniu 1 listopada 2025 r.</w:t>
      </w:r>
    </w:p>
    <w:p w:rsidR="00E975DB" w:rsidRDefault="00AA75D4">
      <w:pPr>
        <w:spacing w:line="276" w:lineRule="auto"/>
        <w:ind w:firstLine="643"/>
        <w:rPr>
          <w:szCs w:val="20"/>
          <w:lang w:val="x-none" w:eastAsia="en-US" w:bidi="ar-SA"/>
        </w:rPr>
      </w:pPr>
      <w:r>
        <w:rPr>
          <w:szCs w:val="20"/>
          <w:lang w:val="x-none" w:eastAsia="en-US" w:bidi="ar-SA"/>
        </w:rPr>
        <w:t xml:space="preserve">W </w:t>
      </w:r>
      <w:r>
        <w:rPr>
          <w:szCs w:val="20"/>
        </w:rPr>
        <w:t xml:space="preserve">dniu </w:t>
      </w:r>
      <w:r>
        <w:rPr>
          <w:szCs w:val="20"/>
          <w:lang w:val="x-none" w:eastAsia="en-US" w:bidi="ar-SA"/>
        </w:rPr>
        <w:t xml:space="preserve">Wszystkich Świętych odnotowywany jest wzmożony ruch samochodów, szczególnie w rejonie cmentarzy. Również komunikacja miejska w dniu 1 listopada wzmacniana jest dodatkowym taborem – obowiązują specjalne rozkłady jazdy (zwiększona częstotliwość, niektóre linie są przetrasowane bliżej cmentarzy) oraz uruchamiane są dedykowane linie łączące największe nekropolie. </w:t>
      </w:r>
    </w:p>
    <w:p w:rsidR="00E975DB" w:rsidRDefault="00AA75D4">
      <w:pPr>
        <w:spacing w:line="276" w:lineRule="auto"/>
        <w:ind w:firstLine="643"/>
        <w:rPr>
          <w:szCs w:val="20"/>
          <w:lang w:val="x-none" w:eastAsia="en-US" w:bidi="ar-SA"/>
        </w:rPr>
      </w:pPr>
      <w:r>
        <w:rPr>
          <w:szCs w:val="20"/>
          <w:lang w:val="x-none" w:eastAsia="en-US" w:bidi="ar-SA"/>
        </w:rPr>
        <w:t>Proponowane rozwiązanie ma zachęcić większą liczbę osób do wybrania w tym dniu transportu zbiorowego zamiast transportu indywidualnego.</w:t>
      </w:r>
    </w:p>
    <w:p w:rsidR="00E975DB" w:rsidRDefault="00AA75D4">
      <w:pPr>
        <w:spacing w:line="276" w:lineRule="auto"/>
        <w:ind w:firstLine="643"/>
        <w:rPr>
          <w:szCs w:val="20"/>
          <w:lang w:val="x-none" w:eastAsia="en-US" w:bidi="ar-SA"/>
        </w:rPr>
      </w:pPr>
      <w:r>
        <w:rPr>
          <w:szCs w:val="20"/>
          <w:lang w:val="x-none" w:eastAsia="en-US" w:bidi="ar-SA"/>
        </w:rPr>
        <w:t>Wprowadzenie bezpłatnych przejazdów w dniu Wszystkich Świętych ma charakter jednorazowy, aby zweryfikować, czy wprowadzone rozwiązanie przyczyni się do zmniejszenia natężenia ruchu samochodowego, ograniczenia problemu parkowania oraz usprawnienia przejazdu pojazdów komunikacji miejskiej w bezpośrednim sąsiedztwie cmentarzy.</w:t>
      </w:r>
    </w:p>
    <w:p w:rsidR="00E975DB" w:rsidRDefault="00AA75D4">
      <w:pPr>
        <w:spacing w:line="276" w:lineRule="auto"/>
        <w:ind w:firstLine="643"/>
        <w:rPr>
          <w:szCs w:val="20"/>
          <w:lang w:val="x-none" w:eastAsia="en-US" w:bidi="ar-SA"/>
        </w:rPr>
      </w:pPr>
      <w:r>
        <w:rPr>
          <w:szCs w:val="20"/>
          <w:lang w:val="x-none" w:eastAsia="en-US" w:bidi="ar-SA"/>
        </w:rPr>
        <w:t>Z tytułu wprowadzenia darmowych przejazdów w dniu 1 listopada 2025 r. szacuje się zmniejszenie wpływów do budżetu Miasta Łodzi o ok. 298 tys. zł.</w:t>
      </w:r>
    </w:p>
    <w:p w:rsidR="00E975DB" w:rsidRDefault="00AA75D4">
      <w:pPr>
        <w:spacing w:line="276" w:lineRule="auto"/>
        <w:ind w:firstLine="570"/>
        <w:rPr>
          <w:szCs w:val="20"/>
          <w:lang w:val="x-none" w:eastAsia="en-US" w:bidi="ar-SA"/>
        </w:rPr>
      </w:pPr>
      <w:r>
        <w:rPr>
          <w:szCs w:val="20"/>
          <w:lang w:val="x-none" w:eastAsia="en-US" w:bidi="ar-SA"/>
        </w:rPr>
        <w:lastRenderedPageBreak/>
        <w:t>Ze względu na pozytywny charakter proponowan</w:t>
      </w:r>
      <w:r>
        <w:rPr>
          <w:szCs w:val="20"/>
        </w:rPr>
        <w:t>ej</w:t>
      </w:r>
      <w:r>
        <w:rPr>
          <w:szCs w:val="20"/>
          <w:lang w:val="x-none" w:eastAsia="en-US" w:bidi="ar-SA"/>
        </w:rPr>
        <w:t xml:space="preserve"> zmian</w:t>
      </w:r>
      <w:r>
        <w:rPr>
          <w:szCs w:val="20"/>
        </w:rPr>
        <w:t>y</w:t>
      </w:r>
      <w:r>
        <w:rPr>
          <w:szCs w:val="20"/>
          <w:lang w:val="x-none" w:eastAsia="en-US" w:bidi="ar-SA"/>
        </w:rPr>
        <w:t xml:space="preserve"> należy uznać, że</w:t>
      </w:r>
      <w:r>
        <w:rPr>
          <w:szCs w:val="20"/>
        </w:rPr>
        <w:t xml:space="preserve"> </w:t>
      </w:r>
      <w:r>
        <w:rPr>
          <w:szCs w:val="20"/>
          <w:lang w:val="x-none" w:eastAsia="en-US" w:bidi="ar-SA"/>
        </w:rPr>
        <w:t>wejście w życie § 1 pkt 2 lit. b</w:t>
      </w:r>
      <w:r>
        <w:rPr>
          <w:szCs w:val="20"/>
        </w:rPr>
        <w:t xml:space="preserve"> tiret pierwsze </w:t>
      </w:r>
      <w:r>
        <w:rPr>
          <w:szCs w:val="20"/>
          <w:lang w:val="x-none" w:eastAsia="en-US" w:bidi="ar-SA"/>
        </w:rPr>
        <w:t>uchwały</w:t>
      </w:r>
      <w:r>
        <w:rPr>
          <w:szCs w:val="20"/>
        </w:rPr>
        <w:t xml:space="preserve"> z dniem 1 listopada 2025 r. </w:t>
      </w:r>
      <w:r>
        <w:rPr>
          <w:szCs w:val="20"/>
          <w:lang w:val="x-none" w:eastAsia="en-US" w:bidi="ar-SA"/>
        </w:rPr>
        <w:t xml:space="preserve">będzie dopuszczalne w myśl art. </w:t>
      </w:r>
      <w:r>
        <w:rPr>
          <w:szCs w:val="20"/>
        </w:rPr>
        <w:t xml:space="preserve">4 ust. 2 </w:t>
      </w:r>
      <w:r>
        <w:rPr>
          <w:szCs w:val="20"/>
          <w:lang w:val="x-none" w:eastAsia="en-US" w:bidi="ar-SA"/>
        </w:rPr>
        <w:t xml:space="preserve">ustawy z dnia 20 lipca 2000 r. o ogłaszaniu aktów normatywnych i niektórych innych aktów prawnych (Dz. U. </w:t>
      </w:r>
      <w:r>
        <w:rPr>
          <w:szCs w:val="20"/>
        </w:rPr>
        <w:br/>
      </w:r>
      <w:r>
        <w:rPr>
          <w:szCs w:val="20"/>
          <w:lang w:val="x-none" w:eastAsia="en-US" w:bidi="ar-SA"/>
        </w:rPr>
        <w:t>z 2019 r. poz. 1461). Jak wynika z przywołanego przepisu</w:t>
      </w:r>
      <w:r>
        <w:rPr>
          <w:szCs w:val="20"/>
        </w:rPr>
        <w:t xml:space="preserve">, w uzasadnionych przypadkach akty normatywne, z zastrzeżeniem ust. 3, mogą wchodzić w życie w terminie krótszym niż czternaście dni, </w:t>
      </w:r>
      <w:r>
        <w:rPr>
          <w:szCs w:val="20"/>
        </w:rPr>
        <w:br/>
        <w:t xml:space="preserve">a jeżeli ważny interes państwa wymaga natychmiastowego wejścia w życie aktu normatywnego i zasady demokratycznego państwa prawnego nie stoją temu na przeszkodzie, dniem wejścia w życie może być dzień ogłoszenia tego aktu w dzienniku urzędowym. </w:t>
      </w:r>
    </w:p>
    <w:p w:rsidR="00E975DB" w:rsidRDefault="00AA75D4">
      <w:pPr>
        <w:spacing w:line="276" w:lineRule="auto"/>
        <w:ind w:firstLine="570"/>
        <w:rPr>
          <w:szCs w:val="20"/>
          <w:lang w:val="x-none" w:eastAsia="en-US" w:bidi="ar-SA"/>
        </w:rPr>
      </w:pPr>
      <w:r>
        <w:rPr>
          <w:szCs w:val="20"/>
          <w:lang w:val="x-none" w:eastAsia="en-US" w:bidi="ar-SA"/>
        </w:rPr>
        <w:t>Ponadto dla porządku w projekcie uchyla się § 4 pkt 31 przepisów taryfowych, wprowadzający darmowe przejazd</w:t>
      </w:r>
      <w:r>
        <w:rPr>
          <w:szCs w:val="20"/>
        </w:rPr>
        <w:t>y</w:t>
      </w:r>
      <w:r>
        <w:rPr>
          <w:szCs w:val="20"/>
          <w:lang w:val="x-none" w:eastAsia="en-US" w:bidi="ar-SA"/>
        </w:rPr>
        <w:t xml:space="preserve"> dla podróżujących w strefie 1 lub 2 w okresie od godziny 00:00 w dniu 25 lipca </w:t>
      </w:r>
      <w:r>
        <w:rPr>
          <w:szCs w:val="20"/>
        </w:rPr>
        <w:br/>
      </w:r>
      <w:r>
        <w:rPr>
          <w:szCs w:val="20"/>
          <w:lang w:val="x-none" w:eastAsia="en-US" w:bidi="ar-SA"/>
        </w:rPr>
        <w:t>2025 r. do godziny 03:00 w dniu 28 lipca 2025 r.</w:t>
      </w:r>
    </w:p>
    <w:p w:rsidR="00E975DB" w:rsidRDefault="00E975DB">
      <w:pPr>
        <w:spacing w:before="120" w:after="120"/>
        <w:ind w:left="284"/>
        <w:jc w:val="left"/>
        <w:rPr>
          <w:color w:val="000000"/>
          <w:szCs w:val="20"/>
          <w:u w:color="000000"/>
          <w:lang w:val="x-none" w:eastAsia="en-US" w:bidi="ar-SA"/>
        </w:rPr>
      </w:pPr>
    </w:p>
    <w:sectPr w:rsidR="00E975DB">
      <w:footerReference w:type="default" r:id="rId9"/>
      <w:endnotePr>
        <w:numFmt w:val="decimal"/>
      </w:endnotePr>
      <w:pgSz w:w="11906" w:h="16838"/>
      <w:pgMar w:top="850" w:right="794" w:bottom="1417" w:left="79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2B2" w:rsidRDefault="006D22B2">
      <w:r>
        <w:separator/>
      </w:r>
    </w:p>
  </w:endnote>
  <w:endnote w:type="continuationSeparator" w:id="0">
    <w:p w:rsidR="006D22B2" w:rsidRDefault="006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3285"/>
    </w:tblGrid>
    <w:tr w:rsidR="00E975DB">
      <w:tc>
        <w:tcPr>
          <w:tcW w:w="6425" w:type="dxa"/>
          <w:tcBorders>
            <w:top w:val="nil"/>
            <w:left w:val="nil"/>
            <w:bottom w:val="nil"/>
            <w:right w:val="nil"/>
          </w:tcBorders>
          <w:tcMar>
            <w:top w:w="100" w:type="dxa"/>
            <w:left w:w="108" w:type="dxa"/>
            <w:bottom w:w="0" w:type="dxa"/>
            <w:right w:w="108" w:type="dxa"/>
          </w:tcMar>
          <w:vAlign w:val="center"/>
          <w:hideMark/>
        </w:tcPr>
        <w:p w:rsidR="00E975DB" w:rsidRDefault="00E975DB">
          <w:pPr>
            <w:jc w:val="left"/>
            <w:rPr>
              <w:sz w:val="18"/>
            </w:rPr>
          </w:pPr>
        </w:p>
      </w:tc>
      <w:tc>
        <w:tcPr>
          <w:tcW w:w="3213" w:type="dxa"/>
          <w:tcBorders>
            <w:top w:val="nil"/>
            <w:left w:val="nil"/>
            <w:bottom w:val="nil"/>
            <w:right w:val="nil"/>
          </w:tcBorders>
          <w:tcMar>
            <w:top w:w="100" w:type="dxa"/>
            <w:left w:w="108" w:type="dxa"/>
            <w:bottom w:w="0" w:type="dxa"/>
            <w:right w:w="108" w:type="dxa"/>
          </w:tcMar>
          <w:vAlign w:val="center"/>
          <w:hideMark/>
        </w:tcPr>
        <w:p w:rsidR="00E975DB" w:rsidRDefault="00E975DB">
          <w:pPr>
            <w:jc w:val="right"/>
            <w:rPr>
              <w:sz w:val="18"/>
            </w:rPr>
          </w:pPr>
        </w:p>
      </w:tc>
    </w:tr>
  </w:tbl>
  <w:p w:rsidR="00E975DB" w:rsidRDefault="00E975DB">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9"/>
      <w:gridCol w:w="3285"/>
    </w:tblGrid>
    <w:tr w:rsidR="00E975DB">
      <w:tc>
        <w:tcPr>
          <w:tcW w:w="6425" w:type="dxa"/>
          <w:tcBorders>
            <w:top w:val="nil"/>
            <w:left w:val="nil"/>
            <w:bottom w:val="nil"/>
            <w:right w:val="nil"/>
          </w:tcBorders>
          <w:tcMar>
            <w:top w:w="100" w:type="dxa"/>
            <w:left w:w="108" w:type="dxa"/>
            <w:bottom w:w="0" w:type="dxa"/>
            <w:right w:w="108" w:type="dxa"/>
          </w:tcMar>
          <w:vAlign w:val="center"/>
          <w:hideMark/>
        </w:tcPr>
        <w:p w:rsidR="00E975DB" w:rsidRDefault="00E975DB">
          <w:pPr>
            <w:jc w:val="left"/>
            <w:rPr>
              <w:sz w:val="18"/>
            </w:rPr>
          </w:pPr>
        </w:p>
      </w:tc>
      <w:tc>
        <w:tcPr>
          <w:tcW w:w="3213" w:type="dxa"/>
          <w:tcBorders>
            <w:top w:val="nil"/>
            <w:left w:val="nil"/>
            <w:bottom w:val="nil"/>
            <w:right w:val="nil"/>
          </w:tcBorders>
          <w:tcMar>
            <w:top w:w="100" w:type="dxa"/>
            <w:left w:w="108" w:type="dxa"/>
            <w:bottom w:w="0" w:type="dxa"/>
            <w:right w:w="108" w:type="dxa"/>
          </w:tcMar>
          <w:vAlign w:val="center"/>
          <w:hideMark/>
        </w:tcPr>
        <w:p w:rsidR="00E975DB" w:rsidRDefault="00E975DB">
          <w:pPr>
            <w:jc w:val="right"/>
            <w:rPr>
              <w:sz w:val="18"/>
            </w:rPr>
          </w:pPr>
        </w:p>
      </w:tc>
    </w:tr>
  </w:tbl>
  <w:p w:rsidR="00E975DB" w:rsidRDefault="00E975DB">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3511"/>
    </w:tblGrid>
    <w:tr w:rsidR="00E975DB">
      <w:tc>
        <w:tcPr>
          <w:tcW w:w="6879" w:type="dxa"/>
          <w:tcBorders>
            <w:top w:val="nil"/>
            <w:left w:val="nil"/>
            <w:bottom w:val="nil"/>
            <w:right w:val="nil"/>
          </w:tcBorders>
          <w:tcMar>
            <w:top w:w="100" w:type="dxa"/>
            <w:left w:w="108" w:type="dxa"/>
            <w:bottom w:w="0" w:type="dxa"/>
            <w:right w:w="108" w:type="dxa"/>
          </w:tcMar>
          <w:vAlign w:val="center"/>
          <w:hideMark/>
        </w:tcPr>
        <w:p w:rsidR="00E975DB" w:rsidRDefault="00E975DB">
          <w:pPr>
            <w:jc w:val="left"/>
            <w:rPr>
              <w:sz w:val="18"/>
            </w:rPr>
          </w:pPr>
        </w:p>
      </w:tc>
      <w:tc>
        <w:tcPr>
          <w:tcW w:w="3439" w:type="dxa"/>
          <w:tcBorders>
            <w:top w:val="nil"/>
            <w:left w:val="nil"/>
            <w:bottom w:val="nil"/>
            <w:right w:val="nil"/>
          </w:tcBorders>
          <w:tcMar>
            <w:top w:w="100" w:type="dxa"/>
            <w:left w:w="108" w:type="dxa"/>
            <w:bottom w:w="0" w:type="dxa"/>
            <w:right w:w="108" w:type="dxa"/>
          </w:tcMar>
          <w:vAlign w:val="center"/>
          <w:hideMark/>
        </w:tcPr>
        <w:p w:rsidR="00E975DB" w:rsidRDefault="00E975DB">
          <w:pPr>
            <w:jc w:val="right"/>
            <w:rPr>
              <w:sz w:val="18"/>
            </w:rPr>
          </w:pPr>
        </w:p>
      </w:tc>
    </w:tr>
  </w:tbl>
  <w:p w:rsidR="00E975DB" w:rsidRDefault="00E975D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2B2" w:rsidRDefault="006D22B2">
      <w:r>
        <w:separator/>
      </w:r>
    </w:p>
  </w:footnote>
  <w:footnote w:type="continuationSeparator" w:id="0">
    <w:p w:rsidR="006D22B2" w:rsidRDefault="006D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436F"/>
    <w:multiLevelType w:val="hybridMultilevel"/>
    <w:tmpl w:val="00000000"/>
    <w:lvl w:ilvl="0" w:tplc="D0E2F012">
      <w:start w:val="1"/>
      <w:numFmt w:val="bullet"/>
      <w:lvlText w:val="·"/>
      <w:lvlJc w:val="left"/>
      <w:pPr>
        <w:ind w:left="1003" w:hanging="360"/>
      </w:pPr>
      <w:rPr>
        <w:rFonts w:ascii="Symbol" w:hAnsi="Symbol"/>
      </w:rPr>
    </w:lvl>
    <w:lvl w:ilvl="1" w:tplc="65DC0B24">
      <w:start w:val="1"/>
      <w:numFmt w:val="bullet"/>
      <w:lvlText w:val="o"/>
      <w:lvlJc w:val="left"/>
      <w:pPr>
        <w:ind w:left="1723" w:hanging="360"/>
      </w:pPr>
      <w:rPr>
        <w:rFonts w:ascii="Courier New" w:hAnsi="Courier New"/>
      </w:rPr>
    </w:lvl>
    <w:lvl w:ilvl="2" w:tplc="DDEAD4A6">
      <w:start w:val="1"/>
      <w:numFmt w:val="bullet"/>
      <w:lvlText w:val="§"/>
      <w:lvlJc w:val="left"/>
      <w:pPr>
        <w:ind w:left="2443" w:hanging="360"/>
      </w:pPr>
      <w:rPr>
        <w:rFonts w:ascii="Wingdings" w:hAnsi="Wingdings"/>
      </w:rPr>
    </w:lvl>
    <w:lvl w:ilvl="3" w:tplc="A5C2B220">
      <w:start w:val="1"/>
      <w:numFmt w:val="bullet"/>
      <w:lvlText w:val="·"/>
      <w:lvlJc w:val="left"/>
      <w:pPr>
        <w:ind w:left="3163" w:hanging="360"/>
      </w:pPr>
      <w:rPr>
        <w:rFonts w:ascii="Symbol" w:hAnsi="Symbol"/>
      </w:rPr>
    </w:lvl>
    <w:lvl w:ilvl="4" w:tplc="FE0217C8">
      <w:start w:val="1"/>
      <w:numFmt w:val="bullet"/>
      <w:lvlText w:val="o"/>
      <w:lvlJc w:val="left"/>
      <w:pPr>
        <w:ind w:left="3883" w:hanging="360"/>
      </w:pPr>
      <w:rPr>
        <w:rFonts w:ascii="Courier New" w:hAnsi="Courier New"/>
      </w:rPr>
    </w:lvl>
    <w:lvl w:ilvl="5" w:tplc="9592B01E">
      <w:start w:val="1"/>
      <w:numFmt w:val="bullet"/>
      <w:lvlText w:val="§"/>
      <w:lvlJc w:val="left"/>
      <w:pPr>
        <w:ind w:left="4603" w:hanging="360"/>
      </w:pPr>
      <w:rPr>
        <w:rFonts w:ascii="Wingdings" w:hAnsi="Wingdings"/>
      </w:rPr>
    </w:lvl>
    <w:lvl w:ilvl="6" w:tplc="01C05C04">
      <w:start w:val="1"/>
      <w:numFmt w:val="bullet"/>
      <w:lvlText w:val="·"/>
      <w:lvlJc w:val="left"/>
      <w:pPr>
        <w:ind w:left="5323" w:hanging="360"/>
      </w:pPr>
      <w:rPr>
        <w:rFonts w:ascii="Symbol" w:hAnsi="Symbol"/>
      </w:rPr>
    </w:lvl>
    <w:lvl w:ilvl="7" w:tplc="9D6228EE">
      <w:start w:val="1"/>
      <w:numFmt w:val="bullet"/>
      <w:lvlText w:val="o"/>
      <w:lvlJc w:val="left"/>
      <w:pPr>
        <w:ind w:left="6043" w:hanging="360"/>
      </w:pPr>
      <w:rPr>
        <w:rFonts w:ascii="Courier New" w:hAnsi="Courier New"/>
      </w:rPr>
    </w:lvl>
    <w:lvl w:ilvl="8" w:tplc="B04037AA">
      <w:start w:val="1"/>
      <w:numFmt w:val="bullet"/>
      <w:lvlText w:val="§"/>
      <w:lvlJc w:val="left"/>
      <w:pPr>
        <w:ind w:left="6763"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66F8"/>
    <w:rsid w:val="00260415"/>
    <w:rsid w:val="006D22B2"/>
    <w:rsid w:val="00A77B3E"/>
    <w:rsid w:val="00AA75D4"/>
    <w:rsid w:val="00CA2A55"/>
    <w:rsid w:val="00E97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332A6D-0447-411E-8842-D6A70DE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spacing w:after="200" w:line="276" w:lineRule="auto"/>
      <w:ind w:left="720"/>
      <w:contextualSpacing/>
      <w:jc w:val="left"/>
    </w:pPr>
    <w:rPr>
      <w:rFonts w:ascii="Calibri" w:hAnsi="Calibri"/>
      <w:sz w:val="22"/>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8302</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zmieniająca uchwałę w^sprawie  ustalenia opłat za usługi przewozowe lokalnego transportu zbiorowego w^Łodzi.</dc:subject>
  <dc:creator>iwmajewska</dc:creator>
  <cp:lastModifiedBy>Tomasz Wilk</cp:lastModifiedBy>
  <cp:revision>2</cp:revision>
  <dcterms:created xsi:type="dcterms:W3CDTF">2025-09-11T09:05:00Z</dcterms:created>
  <dcterms:modified xsi:type="dcterms:W3CDTF">2025-09-11T09:05:00Z</dcterms:modified>
  <cp:category>Akt prawny</cp:category>
</cp:coreProperties>
</file>