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EE" w:rsidRDefault="00AA0AEE" w:rsidP="00AA0A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0AEE" w:rsidRDefault="00AA0AEE" w:rsidP="00AA0AE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134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AA0AEE" w:rsidRDefault="00AA0AEE" w:rsidP="00AA0AE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16 września 2025 r.</w:t>
      </w:r>
    </w:p>
    <w:p w:rsidR="00AA0AEE" w:rsidRDefault="00AA0AEE" w:rsidP="00AA0AEE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0AEE" w:rsidRDefault="00AA0AEE" w:rsidP="00AA0AE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0AEE" w:rsidRDefault="00AA0AEE" w:rsidP="00AA0AE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0AEE" w:rsidRDefault="00AA0AEE" w:rsidP="00AA0AE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AA0AEE" w:rsidRDefault="00AA0AEE" w:rsidP="00AA0AE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AA0AEE" w:rsidRDefault="00AA0AEE" w:rsidP="00AA0AE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Lokali Miejskich.</w:t>
      </w: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0AEE" w:rsidRDefault="00AA0AEE" w:rsidP="00AA0AE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0501AC">
        <w:rPr>
          <w:rFonts w:ascii="Times New Roman" w:eastAsia="Calibri" w:hAnsi="Times New Roman" w:cs="Times New Roman"/>
          <w:sz w:val="24"/>
          <w:szCs w:val="24"/>
        </w:rPr>
        <w:t xml:space="preserve">(Dz. U. z 2025 r. poz. 1153) </w:t>
      </w:r>
      <w:r>
        <w:rPr>
          <w:rFonts w:ascii="Times New Roman" w:eastAsia="Calibri" w:hAnsi="Times New Roman" w:cs="Times New Roman"/>
          <w:sz w:val="24"/>
          <w:szCs w:val="24"/>
        </w:rPr>
        <w:t>oraz art. 229 pkt 3, art. 237 § 3 oraz art. 238 § 1 ustawy z dnia 14 czerwca 1960 r. - Kodeks postępowania administracyjnego (Dz. U. z 2024 r. poz. 572, z 2025 r. poz. 769), Rada Miejska w Łodzi</w:t>
      </w:r>
    </w:p>
    <w:p w:rsidR="00AA0AEE" w:rsidRDefault="00AA0AEE" w:rsidP="00AA0AE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AA0AEE" w:rsidRDefault="00AA0AEE" w:rsidP="00AA0AE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0AEE" w:rsidRDefault="00AA0AEE" w:rsidP="00AA0AE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 … 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Dyrektora Zarządu Lokali Miejskich uznaje się za bezzasadną.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A0AEE" w:rsidRDefault="00AA0AEE" w:rsidP="00AA0AEE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AA0AEE" w:rsidRDefault="00AA0AEE" w:rsidP="00AA0AE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AEE" w:rsidRDefault="00AA0AEE" w:rsidP="00AA0AE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AEE" w:rsidRDefault="00AA0AEE" w:rsidP="00AA0AEE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AA0AEE" w:rsidRDefault="00AA0AEE" w:rsidP="00AA0AE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A0AEE" w:rsidRDefault="00AA0AEE" w:rsidP="00AA0AE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A0AEE" w:rsidRDefault="00AA0AEE" w:rsidP="00AA0AE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A0AEE" w:rsidRDefault="00AA0AEE" w:rsidP="00AA0AEE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AA0AEE" w:rsidRDefault="00AA0AEE" w:rsidP="00AA0A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AA0AEE" w:rsidRDefault="00AA0AEE" w:rsidP="00AA0AEE"/>
    <w:p w:rsidR="00AA0AEE" w:rsidRDefault="00AA0AEE" w:rsidP="00AA0AEE"/>
    <w:p w:rsidR="00AA0AEE" w:rsidRDefault="00AA0AEE" w:rsidP="00AA0AEE"/>
    <w:p w:rsidR="00AA0AEE" w:rsidRDefault="00AA0AEE" w:rsidP="00AA0A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0AEE" w:rsidRDefault="00AA0AEE" w:rsidP="00AA0AEE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AA0AEE" w:rsidRDefault="00AA0AEE" w:rsidP="00AA0AE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AA0AEE" w:rsidRDefault="00AA0AEE" w:rsidP="00AA0AE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AA0AEE" w:rsidRDefault="00AA0AEE" w:rsidP="00AA0AE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AEE" w:rsidRDefault="00AA0AEE" w:rsidP="00AA0AE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AA0AEE" w:rsidRDefault="00AA0AEE" w:rsidP="00AA0AE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AEE" w:rsidRPr="00290786" w:rsidRDefault="00AA0AEE" w:rsidP="00AA0AEE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290786">
        <w:rPr>
          <w:rFonts w:ascii="Times New Roman" w:hAnsi="Times New Roman" w:cs="Times New Roman"/>
        </w:rPr>
        <w:t xml:space="preserve">Rady Miejskiej w Łodzi wpłynęła skarga </w:t>
      </w:r>
      <w:r w:rsidRPr="007C74A9">
        <w:rPr>
          <w:rFonts w:ascii="Times New Roman" w:hAnsi="Times New Roman" w:cs="Times New Roman"/>
        </w:rPr>
        <w:t>na działania Dyrektora Zarządu Lokali Miejskich w Łodzi</w:t>
      </w:r>
      <w:r>
        <w:rPr>
          <w:rFonts w:ascii="Times New Roman" w:hAnsi="Times New Roman" w:cs="Times New Roman"/>
        </w:rPr>
        <w:t xml:space="preserve">. Skarżąca </w:t>
      </w:r>
      <w:r w:rsidRPr="007C74A9">
        <w:rPr>
          <w:rFonts w:ascii="Times New Roman" w:hAnsi="Times New Roman" w:cs="Times New Roman"/>
        </w:rPr>
        <w:t xml:space="preserve">zarzuca przewlekłość postępowania w sprawie wykupu lokalu </w:t>
      </w:r>
      <w:r>
        <w:rPr>
          <w:rFonts w:ascii="Times New Roman" w:hAnsi="Times New Roman" w:cs="Times New Roman"/>
        </w:rPr>
        <w:t xml:space="preserve">przy </w:t>
      </w:r>
      <w:r w:rsidRPr="007C74A9">
        <w:rPr>
          <w:rFonts w:ascii="Times New Roman" w:hAnsi="Times New Roman" w:cs="Times New Roman"/>
        </w:rPr>
        <w:t>ul. Krawieckiej</w:t>
      </w:r>
      <w:r>
        <w:rPr>
          <w:rFonts w:ascii="Times New Roman" w:hAnsi="Times New Roman" w:cs="Times New Roman"/>
        </w:rPr>
        <w:t>. W</w:t>
      </w:r>
      <w:r w:rsidRPr="007C74A9">
        <w:rPr>
          <w:rFonts w:ascii="Times New Roman" w:hAnsi="Times New Roman" w:cs="Times New Roman"/>
        </w:rPr>
        <w:t xml:space="preserve">skazuje, że mimo złożenia wniosku o wykup już w 2019 r., procedura nie została zakończona. Zdaniem </w:t>
      </w:r>
      <w:r>
        <w:rPr>
          <w:rFonts w:ascii="Times New Roman" w:hAnsi="Times New Roman" w:cs="Times New Roman"/>
        </w:rPr>
        <w:t>S</w:t>
      </w:r>
      <w:r w:rsidRPr="007C74A9">
        <w:rPr>
          <w:rFonts w:ascii="Times New Roman" w:hAnsi="Times New Roman" w:cs="Times New Roman"/>
        </w:rPr>
        <w:t>karżącej, Zarząd Lokali Miejskich nie dopełnia obowiązków i nie współpracuje z Zarządem Wspólnoty Mieszkaniowej w celu przeprowadzenia zmiany wysokości udziałów w nieruchomości wspólnej, co jest warunkiem dalszych działań.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AEE" w:rsidRDefault="00AA0AEE" w:rsidP="00AA0AE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A0AEE" w:rsidRDefault="00AA0AEE" w:rsidP="00AA0AE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A0AEE" w:rsidRPr="007C74A9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Zarząd Lokali Miejskich wyjaśnił, że problem dotyczy konieczności aktualizacji inwentaryzacji architektoniczno-budowlanej budynku i zmiany wysokości udziałów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nieruchomości wspólnej, co wymaga jednomyślnej uchwały Wspólnoty Mieszkaniowej oraz aktu notarialnego. W 2016 r. sporządzono pierwszą inwentaryzację, ale nie została ona zatwierdzona z powodu zastrzeżeń właścicieli. W 2024 r. zakończono nową inwentaryzację, której zapisy nie były kwestionowane.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arząd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okali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iejskich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przekazał Wspólnocie instrukcje dotyczące dalszych działań oraz informacje o nowej linii orzeczniczej, zgodnie z którą wymagane jest jednomyślne przyjęcie uchwały o zmianie udziałów. Obecnie trwają konsultacje z 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rzędem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iasta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odzi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tej sprawie.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arząd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okali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iejskich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zaznaczył, że wykup lokalu może nastąpić dopiero po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formalnym zakończeniu procedury zmiany udziałów, która leży po stronie Wspólnoty Mieszkaniowej. Sam wykup będzie możliwy po uregulowaniu powierzchni i udziału lokalu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księdze wieczystej.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Procedura wykupu lokalu została zainicjowana przez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karżącą, ale jej zakończenie jest uzależnione od formalności wymagających współdziałania Wspólnoty Mieszkaniowej oraz zatwierdzenia zmian przez notariusza i sąd wieczystoksięgowy.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arząd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okali 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iejskich</w:t>
      </w:r>
      <w:r w:rsidRPr="007C74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dopełnił swoich obowiązków, a opóźnienie wynika z konieczności spełnienia wymogów prawnych oraz zmian w orzecznictwie. Rada dostrzega złożoność sytuacji i zachęca wszystkie strony do dalszej współpracy dla sprawnego zakończenia procedury.</w:t>
      </w: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AA0AEE" w:rsidRDefault="00AA0AEE" w:rsidP="00AA0A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AEE" w:rsidRDefault="00AA0AEE" w:rsidP="00AA0AE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A0AEE" w:rsidRDefault="00AA0AEE" w:rsidP="00AA0A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0AEE" w:rsidRPr="00584443" w:rsidRDefault="00AA0AEE" w:rsidP="00AA0AEE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B9466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EE"/>
    <w:rsid w:val="001A7B09"/>
    <w:rsid w:val="00776C89"/>
    <w:rsid w:val="00AA0AEE"/>
    <w:rsid w:val="00B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EB26-24AB-4A39-9EBD-0ADA8C9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A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0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2025-09-16T12:36:00Z</dcterms:created>
  <dcterms:modified xsi:type="dcterms:W3CDTF">2025-09-16T12:36:00Z</dcterms:modified>
</cp:coreProperties>
</file>