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DA" w:rsidRPr="00531A54" w:rsidRDefault="00411DDA" w:rsidP="00411DDA">
      <w:pPr>
        <w:tabs>
          <w:tab w:val="left" w:pos="5103"/>
        </w:tabs>
        <w:spacing w:line="276" w:lineRule="auto"/>
        <w:jc w:val="right"/>
        <w:rPr>
          <w:rFonts w:eastAsia="Calibri"/>
          <w:bCs/>
          <w:lang w:eastAsia="en-US" w:bidi="ar-SA"/>
        </w:rPr>
      </w:pPr>
      <w:bookmarkStart w:id="0" w:name="_Hlk179291036"/>
      <w:bookmarkStart w:id="1" w:name="_GoBack"/>
      <w:bookmarkEnd w:id="1"/>
      <w:r w:rsidRPr="00531A54">
        <w:rPr>
          <w:rFonts w:eastAsia="Calibri"/>
          <w:bCs/>
          <w:lang w:eastAsia="en-US" w:bidi="ar-SA"/>
        </w:rPr>
        <w:t>Druk BRM nr</w:t>
      </w:r>
      <w:r w:rsidRPr="00531A54">
        <w:rPr>
          <w:rFonts w:eastAsia="Calibri"/>
          <w:b/>
          <w:bCs/>
          <w:lang w:eastAsia="en-US" w:bidi="ar-SA"/>
        </w:rPr>
        <w:t xml:space="preserve"> </w:t>
      </w:r>
      <w:r>
        <w:rPr>
          <w:rFonts w:eastAsia="Calibri"/>
          <w:b/>
          <w:bCs/>
          <w:lang w:eastAsia="en-US" w:bidi="ar-SA"/>
        </w:rPr>
        <w:t xml:space="preserve"> 138</w:t>
      </w:r>
      <w:r w:rsidRPr="00531A54">
        <w:rPr>
          <w:rFonts w:eastAsia="Calibri"/>
          <w:b/>
          <w:lang w:eastAsia="en-US" w:bidi="ar-SA"/>
        </w:rPr>
        <w:t>/202</w:t>
      </w:r>
      <w:r>
        <w:rPr>
          <w:rFonts w:eastAsia="Calibri"/>
          <w:b/>
          <w:lang w:eastAsia="en-US" w:bidi="ar-SA"/>
        </w:rPr>
        <w:t>5</w:t>
      </w:r>
    </w:p>
    <w:p w:rsidR="00411DDA" w:rsidRPr="00531A54" w:rsidRDefault="00411DDA" w:rsidP="00411DDA">
      <w:pPr>
        <w:tabs>
          <w:tab w:val="left" w:pos="5103"/>
        </w:tabs>
        <w:spacing w:line="276" w:lineRule="auto"/>
        <w:jc w:val="right"/>
        <w:rPr>
          <w:rFonts w:eastAsia="Calibri"/>
          <w:bCs/>
          <w:lang w:eastAsia="en-US" w:bidi="ar-SA"/>
        </w:rPr>
      </w:pPr>
      <w:r w:rsidRPr="00531A54">
        <w:rPr>
          <w:rFonts w:eastAsia="Calibri"/>
          <w:bCs/>
          <w:lang w:eastAsia="en-US" w:bidi="ar-SA"/>
        </w:rPr>
        <w:t xml:space="preserve">Projekt z dnia </w:t>
      </w:r>
      <w:r>
        <w:rPr>
          <w:rFonts w:eastAsia="Calibri"/>
          <w:bCs/>
          <w:lang w:eastAsia="en-US" w:bidi="ar-SA"/>
        </w:rPr>
        <w:t>16 września 2025</w:t>
      </w:r>
      <w:r w:rsidRPr="00531A54">
        <w:rPr>
          <w:rFonts w:eastAsia="Calibri"/>
          <w:bCs/>
          <w:lang w:eastAsia="en-US" w:bidi="ar-SA"/>
        </w:rPr>
        <w:t xml:space="preserve"> r.</w:t>
      </w:r>
    </w:p>
    <w:p w:rsidR="00411DDA" w:rsidRDefault="00411DDA" w:rsidP="00411DDA">
      <w:pPr>
        <w:spacing w:line="276" w:lineRule="auto"/>
        <w:jc w:val="both"/>
        <w:rPr>
          <w:b/>
          <w:caps/>
        </w:rPr>
      </w:pPr>
    </w:p>
    <w:p w:rsidR="00411DDA" w:rsidRDefault="00411DDA" w:rsidP="00411DDA">
      <w:pPr>
        <w:spacing w:line="276" w:lineRule="auto"/>
        <w:rPr>
          <w:b/>
          <w:caps/>
        </w:rPr>
      </w:pPr>
    </w:p>
    <w:p w:rsidR="00411DDA" w:rsidRPr="00531A54" w:rsidRDefault="00411DDA" w:rsidP="00411DDA">
      <w:pPr>
        <w:tabs>
          <w:tab w:val="left" w:pos="5103"/>
        </w:tabs>
        <w:spacing w:line="276" w:lineRule="auto"/>
        <w:rPr>
          <w:rFonts w:eastAsia="Calibri"/>
          <w:b/>
          <w:bCs/>
          <w:lang w:eastAsia="en-US" w:bidi="ar-SA"/>
        </w:rPr>
      </w:pPr>
      <w:r w:rsidRPr="00531A54">
        <w:rPr>
          <w:rFonts w:eastAsia="Calibri"/>
          <w:b/>
          <w:bCs/>
          <w:lang w:eastAsia="en-US" w:bidi="ar-SA"/>
        </w:rPr>
        <w:t>UCHWAŁA Nr ………</w:t>
      </w:r>
    </w:p>
    <w:p w:rsidR="00411DDA" w:rsidRPr="00531A54" w:rsidRDefault="00411DDA" w:rsidP="00411DDA">
      <w:pPr>
        <w:tabs>
          <w:tab w:val="left" w:pos="5103"/>
        </w:tabs>
        <w:spacing w:line="276" w:lineRule="auto"/>
        <w:rPr>
          <w:rFonts w:eastAsia="Calibri"/>
          <w:b/>
          <w:bCs/>
          <w:lang w:eastAsia="en-US" w:bidi="ar-SA"/>
        </w:rPr>
      </w:pPr>
      <w:r w:rsidRPr="00531A54">
        <w:rPr>
          <w:rFonts w:eastAsia="Calibri"/>
          <w:b/>
          <w:bCs/>
          <w:lang w:eastAsia="en-US" w:bidi="ar-SA"/>
        </w:rPr>
        <w:t>RADY MIEJSKIEJ w ŁODZI</w:t>
      </w:r>
    </w:p>
    <w:p w:rsidR="00411DDA" w:rsidRPr="007906D5" w:rsidRDefault="00411DDA" w:rsidP="00411DDA">
      <w:pPr>
        <w:tabs>
          <w:tab w:val="left" w:pos="5103"/>
        </w:tabs>
        <w:spacing w:line="276" w:lineRule="auto"/>
        <w:rPr>
          <w:rFonts w:eastAsia="Calibri"/>
          <w:b/>
          <w:bCs/>
          <w:lang w:eastAsia="en-US" w:bidi="ar-SA"/>
        </w:rPr>
      </w:pPr>
      <w:r w:rsidRPr="00531A54">
        <w:rPr>
          <w:rFonts w:eastAsia="Calibri"/>
          <w:b/>
          <w:bCs/>
          <w:lang w:eastAsia="en-US" w:bidi="ar-SA"/>
        </w:rPr>
        <w:t>z dnia …….</w:t>
      </w:r>
    </w:p>
    <w:p w:rsidR="00411DDA" w:rsidRDefault="00411DDA" w:rsidP="00411DDA">
      <w:pPr>
        <w:spacing w:line="276" w:lineRule="auto"/>
        <w:rPr>
          <w:sz w:val="22"/>
          <w:szCs w:val="22"/>
          <w:lang w:bidi="ar-SA"/>
        </w:rPr>
      </w:pPr>
      <w:r>
        <w:rPr>
          <w:b/>
        </w:rPr>
        <w:t>w sprawie petycji Łódzkiego Stowarzyszenia Lokatorów.</w:t>
      </w:r>
    </w:p>
    <w:p w:rsidR="00411DDA" w:rsidRDefault="00411DDA" w:rsidP="00411DDA">
      <w:pPr>
        <w:keepNext/>
        <w:spacing w:line="276" w:lineRule="auto"/>
      </w:pPr>
    </w:p>
    <w:p w:rsidR="00411DDA" w:rsidRDefault="00411DDA" w:rsidP="00411DDA">
      <w:pPr>
        <w:keepLines/>
        <w:spacing w:line="276" w:lineRule="auto"/>
        <w:ind w:firstLine="227"/>
        <w:jc w:val="both"/>
      </w:pPr>
      <w:r>
        <w:t xml:space="preserve">Na podstawie art. 18 ust. 2 pkt 15 ustawy z dnia 8 marca 1990 r. o samorządzie gminnym </w:t>
      </w:r>
      <w:r w:rsidRPr="00232691">
        <w:t xml:space="preserve">(Dz. U. z 2025 r. poz. 1153) </w:t>
      </w:r>
      <w:r>
        <w:t>w związku z art. 9 ust. 2 oraz art. 13 ustawy z dnia 11 lipca 2014 r. o petycjach (Dz. U. z 2018 r. poz. 870), Rada Miejska w Łodzi</w:t>
      </w:r>
    </w:p>
    <w:p w:rsidR="00411DDA" w:rsidRDefault="00411DDA" w:rsidP="00411DDA">
      <w:pPr>
        <w:keepLines/>
        <w:spacing w:line="276" w:lineRule="auto"/>
        <w:ind w:firstLine="227"/>
        <w:jc w:val="both"/>
      </w:pPr>
    </w:p>
    <w:p w:rsidR="00411DDA" w:rsidRDefault="00411DDA" w:rsidP="00411DDA">
      <w:pPr>
        <w:spacing w:line="276" w:lineRule="auto"/>
        <w:rPr>
          <w:b/>
        </w:rPr>
      </w:pPr>
      <w:r>
        <w:rPr>
          <w:b/>
        </w:rPr>
        <w:t>uchwala, co następuje:</w:t>
      </w:r>
    </w:p>
    <w:p w:rsidR="00411DDA" w:rsidRDefault="00411DDA" w:rsidP="00411DDA">
      <w:pPr>
        <w:spacing w:line="276" w:lineRule="auto"/>
        <w:rPr>
          <w:b/>
        </w:rPr>
      </w:pPr>
    </w:p>
    <w:p w:rsidR="00411DDA" w:rsidRDefault="00411DDA" w:rsidP="00411DDA">
      <w:pPr>
        <w:keepLines/>
        <w:spacing w:line="276" w:lineRule="auto"/>
        <w:ind w:firstLine="340"/>
        <w:jc w:val="both"/>
        <w:rPr>
          <w:color w:val="000000"/>
          <w:u w:color="000000"/>
        </w:rPr>
      </w:pPr>
      <w:r>
        <w:t xml:space="preserve">§ 1. 1. Petycję </w:t>
      </w:r>
      <w:r w:rsidRPr="00030D76">
        <w:t xml:space="preserve">Łódzkiego Stowarzyszenia Lokatorów </w:t>
      </w:r>
      <w:r>
        <w:t>uznaje się za bezzasadną.</w:t>
      </w:r>
    </w:p>
    <w:p w:rsidR="00411DDA" w:rsidRDefault="00411DDA" w:rsidP="00411DDA">
      <w:pPr>
        <w:keepLines/>
        <w:spacing w:line="276" w:lineRule="auto"/>
        <w:ind w:firstLine="340"/>
        <w:jc w:val="both"/>
        <w:rPr>
          <w:color w:val="000000"/>
          <w:u w:color="000000"/>
        </w:rPr>
      </w:pPr>
      <w:r>
        <w:t>2. </w:t>
      </w:r>
      <w:r>
        <w:rPr>
          <w:color w:val="000000"/>
          <w:u w:color="000000"/>
        </w:rPr>
        <w:tab/>
        <w:t>Petycja jest bezzasadna z przyczyn wskazanych w uzasadnieniu do przedmiotowej uchwały, które stanowi jej integralną część.</w:t>
      </w:r>
    </w:p>
    <w:p w:rsidR="00411DDA" w:rsidRDefault="00411DDA" w:rsidP="00411DDA">
      <w:pPr>
        <w:keepLines/>
        <w:spacing w:line="276" w:lineRule="auto"/>
        <w:ind w:firstLine="340"/>
        <w:jc w:val="both"/>
        <w:rPr>
          <w:color w:val="000000"/>
          <w:u w:color="000000"/>
        </w:rPr>
      </w:pPr>
      <w:r>
        <w:t>§ 2. </w:t>
      </w:r>
      <w:r>
        <w:rPr>
          <w:color w:val="000000"/>
          <w:u w:color="000000"/>
        </w:rPr>
        <w:t>Zobowiązuje się Przewodniczącego Rady Miejskiej w Łodzi do przekazania Wnoszącemu petycję niniejszej uchwały wraz z uzasadnieniem.</w:t>
      </w:r>
    </w:p>
    <w:p w:rsidR="00411DDA" w:rsidRDefault="00411DDA" w:rsidP="00411DDA">
      <w:pPr>
        <w:keepNext/>
        <w:keepLines/>
        <w:spacing w:line="276" w:lineRule="auto"/>
        <w:ind w:firstLine="340"/>
        <w:jc w:val="both"/>
        <w:rPr>
          <w:color w:val="000000"/>
          <w:u w:color="000000"/>
        </w:rPr>
      </w:pPr>
      <w:r>
        <w:t>§ 3. </w:t>
      </w:r>
      <w:r>
        <w:rPr>
          <w:color w:val="000000"/>
          <w:u w:color="000000"/>
        </w:rPr>
        <w:t>Uchwała wchodzi w życie z dniem podjęcia.</w:t>
      </w:r>
    </w:p>
    <w:tbl>
      <w:tblPr>
        <w:tblW w:w="5000" w:type="pct"/>
        <w:tblCellMar>
          <w:left w:w="0" w:type="dxa"/>
          <w:right w:w="0" w:type="dxa"/>
        </w:tblCellMar>
        <w:tblLook w:val="04A0" w:firstRow="1" w:lastRow="0" w:firstColumn="1" w:lastColumn="0" w:noHBand="0" w:noVBand="1"/>
      </w:tblPr>
      <w:tblGrid>
        <w:gridCol w:w="4536"/>
        <w:gridCol w:w="4536"/>
      </w:tblGrid>
      <w:tr w:rsidR="00411DDA" w:rsidTr="00D7142E">
        <w:tc>
          <w:tcPr>
            <w:tcW w:w="2500" w:type="pct"/>
            <w:tcMar>
              <w:top w:w="0" w:type="dxa"/>
              <w:left w:w="0" w:type="dxa"/>
              <w:bottom w:w="0" w:type="dxa"/>
              <w:right w:w="0" w:type="dxa"/>
            </w:tcMar>
            <w:hideMark/>
          </w:tcPr>
          <w:p w:rsidR="00411DDA" w:rsidRDefault="00411DDA" w:rsidP="00D7142E">
            <w:pPr>
              <w:keepLines/>
              <w:spacing w:line="276" w:lineRule="auto"/>
              <w:jc w:val="left"/>
              <w:rPr>
                <w:color w:val="000000"/>
              </w:rPr>
            </w:pPr>
          </w:p>
        </w:tc>
        <w:tc>
          <w:tcPr>
            <w:tcW w:w="2500" w:type="pct"/>
            <w:tcMar>
              <w:top w:w="0" w:type="dxa"/>
              <w:left w:w="0" w:type="dxa"/>
              <w:bottom w:w="0" w:type="dxa"/>
              <w:right w:w="0" w:type="dxa"/>
            </w:tcMar>
            <w:hideMark/>
          </w:tcPr>
          <w:p w:rsidR="00411DDA" w:rsidRDefault="00411DDA" w:rsidP="00D7142E">
            <w:pPr>
              <w:keepLines/>
              <w:spacing w:line="276" w:lineRule="auto"/>
              <w:ind w:left="567" w:right="567"/>
              <w:rPr>
                <w:b/>
                <w:color w:val="000000"/>
              </w:rPr>
            </w:pPr>
          </w:p>
          <w:p w:rsidR="00411DDA" w:rsidRDefault="00411DDA" w:rsidP="00D7142E">
            <w:pPr>
              <w:keepLines/>
              <w:spacing w:line="276" w:lineRule="auto"/>
              <w:ind w:left="567" w:right="567"/>
              <w:rPr>
                <w:b/>
                <w:color w:val="000000"/>
              </w:rPr>
            </w:pPr>
          </w:p>
          <w:p w:rsidR="00411DDA" w:rsidRDefault="00411DDA" w:rsidP="00D7142E">
            <w:pPr>
              <w:keepLines/>
              <w:spacing w:line="276" w:lineRule="auto"/>
              <w:ind w:left="567" w:right="567"/>
              <w:rPr>
                <w:b/>
                <w:color w:val="000000"/>
              </w:rPr>
            </w:pPr>
          </w:p>
          <w:p w:rsidR="00411DDA" w:rsidRDefault="00411DDA" w:rsidP="00D7142E">
            <w:pPr>
              <w:keepLines/>
              <w:spacing w:line="276" w:lineRule="auto"/>
              <w:ind w:left="567" w:right="567"/>
              <w:rPr>
                <w:b/>
                <w:color w:val="000000"/>
              </w:rPr>
            </w:pPr>
          </w:p>
          <w:p w:rsidR="00411DDA" w:rsidRDefault="00411DDA" w:rsidP="00D7142E">
            <w:pPr>
              <w:keepLines/>
              <w:spacing w:line="276" w:lineRule="auto"/>
              <w:ind w:left="567" w:right="567"/>
              <w:rPr>
                <w:b/>
                <w:color w:val="000000"/>
              </w:rPr>
            </w:pPr>
          </w:p>
          <w:p w:rsidR="00411DDA" w:rsidRDefault="00411DDA" w:rsidP="00D7142E">
            <w:pPr>
              <w:keepLines/>
              <w:spacing w:line="276" w:lineRule="auto"/>
              <w:ind w:left="567" w:right="567"/>
              <w:rPr>
                <w:b/>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p w:rsidR="00411DDA" w:rsidRDefault="00411DDA" w:rsidP="00D7142E">
            <w:pPr>
              <w:keepLines/>
              <w:spacing w:line="276" w:lineRule="auto"/>
              <w:ind w:left="567" w:right="567"/>
              <w:rPr>
                <w:color w:val="000000"/>
              </w:rPr>
            </w:pPr>
          </w:p>
        </w:tc>
      </w:tr>
    </w:tbl>
    <w:p w:rsidR="00411DDA" w:rsidRDefault="00411DDA" w:rsidP="00411DDA">
      <w:pPr>
        <w:spacing w:line="276" w:lineRule="auto"/>
        <w:jc w:val="left"/>
      </w:pPr>
    </w:p>
    <w:p w:rsidR="00411DDA" w:rsidRDefault="00411DDA" w:rsidP="00411DDA">
      <w:pPr>
        <w:spacing w:line="276" w:lineRule="auto"/>
        <w:jc w:val="left"/>
      </w:pPr>
    </w:p>
    <w:p w:rsidR="00411DDA" w:rsidRDefault="00411DDA" w:rsidP="00411DDA">
      <w:pPr>
        <w:spacing w:line="276" w:lineRule="auto"/>
        <w:jc w:val="left"/>
        <w:rPr>
          <w:rFonts w:eastAsia="Calibri"/>
          <w:lang w:eastAsia="en-US" w:bidi="ar-SA"/>
        </w:rPr>
      </w:pPr>
    </w:p>
    <w:p w:rsidR="00411DDA" w:rsidRDefault="00411DDA" w:rsidP="00411DDA">
      <w:pPr>
        <w:spacing w:line="276" w:lineRule="auto"/>
        <w:jc w:val="left"/>
        <w:rPr>
          <w:rFonts w:eastAsia="Calibri"/>
          <w:lang w:eastAsia="en-US" w:bidi="ar-SA"/>
        </w:rPr>
      </w:pPr>
    </w:p>
    <w:p w:rsidR="00411DDA" w:rsidRDefault="00411DDA" w:rsidP="00411DDA">
      <w:pPr>
        <w:spacing w:line="276" w:lineRule="auto"/>
        <w:jc w:val="left"/>
        <w:rPr>
          <w:rFonts w:eastAsia="Calibri"/>
          <w:lang w:eastAsia="en-US" w:bidi="ar-SA"/>
        </w:rPr>
      </w:pPr>
    </w:p>
    <w:p w:rsidR="00411DDA" w:rsidRDefault="00411DDA" w:rsidP="00411DDA">
      <w:pPr>
        <w:spacing w:line="276" w:lineRule="auto"/>
        <w:jc w:val="left"/>
        <w:rPr>
          <w:rFonts w:eastAsia="Calibri"/>
          <w:lang w:eastAsia="en-US" w:bidi="ar-SA"/>
        </w:rPr>
      </w:pPr>
    </w:p>
    <w:p w:rsidR="00411DDA" w:rsidRPr="00531A54" w:rsidRDefault="00411DDA" w:rsidP="00411DDA">
      <w:pPr>
        <w:spacing w:line="276" w:lineRule="auto"/>
        <w:jc w:val="left"/>
        <w:rPr>
          <w:rFonts w:eastAsia="Calibri"/>
          <w:lang w:eastAsia="en-US" w:bidi="ar-SA"/>
        </w:rPr>
      </w:pPr>
      <w:r w:rsidRPr="00531A54">
        <w:rPr>
          <w:rFonts w:eastAsia="Calibri"/>
          <w:lang w:eastAsia="en-US" w:bidi="ar-SA"/>
        </w:rPr>
        <w:t>Projektodawcą uchwały jest</w:t>
      </w:r>
    </w:p>
    <w:p w:rsidR="00411DDA" w:rsidRPr="00531A54" w:rsidRDefault="00411DDA" w:rsidP="00411DDA">
      <w:pPr>
        <w:spacing w:line="276" w:lineRule="auto"/>
        <w:jc w:val="left"/>
        <w:rPr>
          <w:rFonts w:eastAsia="Calibri"/>
          <w:lang w:eastAsia="en-US" w:bidi="ar-SA"/>
        </w:rPr>
      </w:pPr>
      <w:r w:rsidRPr="00531A54">
        <w:rPr>
          <w:rFonts w:eastAsia="Calibri"/>
          <w:lang w:eastAsia="en-US" w:bidi="ar-SA"/>
        </w:rPr>
        <w:t>Komisja Skarg, Wniosków i Petycji</w:t>
      </w:r>
    </w:p>
    <w:p w:rsidR="00411DDA" w:rsidRPr="00531A54" w:rsidRDefault="00411DDA" w:rsidP="00411DDA">
      <w:pPr>
        <w:spacing w:line="276" w:lineRule="auto"/>
        <w:jc w:val="left"/>
        <w:rPr>
          <w:rFonts w:eastAsia="Calibri"/>
          <w:lang w:eastAsia="en-US" w:bidi="ar-SA"/>
        </w:rPr>
      </w:pPr>
      <w:r w:rsidRPr="00531A54">
        <w:rPr>
          <w:rFonts w:eastAsia="Calibri"/>
          <w:lang w:eastAsia="en-US" w:bidi="ar-SA"/>
        </w:rPr>
        <w:t>Rady Miejskiej w Łodzi</w:t>
      </w:r>
    </w:p>
    <w:p w:rsidR="00411DDA" w:rsidRDefault="00411DDA" w:rsidP="00411DDA">
      <w:pPr>
        <w:spacing w:line="276" w:lineRule="auto"/>
        <w:jc w:val="left"/>
        <w:rPr>
          <w:rFonts w:eastAsia="Calibri"/>
          <w:lang w:eastAsia="en-US" w:bidi="ar-SA"/>
        </w:rPr>
      </w:pPr>
    </w:p>
    <w:p w:rsidR="00411DDA" w:rsidRDefault="00411DDA" w:rsidP="00411DDA">
      <w:pPr>
        <w:spacing w:line="276" w:lineRule="auto"/>
        <w:ind w:left="5232" w:firstLine="708"/>
        <w:jc w:val="left"/>
        <w:rPr>
          <w:rFonts w:eastAsia="Calibri"/>
          <w:lang w:eastAsia="en-US" w:bidi="ar-SA"/>
        </w:rPr>
      </w:pPr>
    </w:p>
    <w:p w:rsidR="00411DDA" w:rsidRDefault="00411DDA" w:rsidP="00411DDA">
      <w:pPr>
        <w:spacing w:line="276" w:lineRule="auto"/>
        <w:ind w:left="5232" w:firstLine="708"/>
        <w:jc w:val="left"/>
        <w:rPr>
          <w:rFonts w:eastAsia="Calibri"/>
          <w:lang w:eastAsia="en-US" w:bidi="ar-SA"/>
        </w:rPr>
      </w:pPr>
    </w:p>
    <w:p w:rsidR="00411DDA" w:rsidRDefault="00411DDA" w:rsidP="00411DDA">
      <w:pPr>
        <w:spacing w:line="276" w:lineRule="auto"/>
        <w:ind w:left="5232" w:firstLine="708"/>
        <w:jc w:val="left"/>
        <w:rPr>
          <w:rFonts w:eastAsia="Calibri"/>
          <w:lang w:eastAsia="en-US" w:bidi="ar-SA"/>
        </w:rPr>
      </w:pPr>
    </w:p>
    <w:p w:rsidR="00411DDA" w:rsidRDefault="00411DDA" w:rsidP="00411DDA">
      <w:pPr>
        <w:spacing w:line="276" w:lineRule="auto"/>
        <w:ind w:left="5232" w:firstLine="708"/>
        <w:jc w:val="left"/>
        <w:rPr>
          <w:rFonts w:eastAsia="Calibri"/>
          <w:lang w:eastAsia="en-US" w:bidi="ar-SA"/>
        </w:rPr>
      </w:pPr>
    </w:p>
    <w:p w:rsidR="00411DDA" w:rsidRPr="00531A54" w:rsidRDefault="00411DDA" w:rsidP="00411DDA">
      <w:pPr>
        <w:spacing w:line="276" w:lineRule="auto"/>
        <w:ind w:left="5232" w:firstLine="708"/>
        <w:jc w:val="left"/>
        <w:rPr>
          <w:rFonts w:eastAsia="Calibri"/>
          <w:lang w:eastAsia="en-US" w:bidi="ar-SA"/>
        </w:rPr>
      </w:pPr>
      <w:r w:rsidRPr="00531A54">
        <w:rPr>
          <w:rFonts w:eastAsia="Calibri"/>
          <w:lang w:eastAsia="en-US" w:bidi="ar-SA"/>
        </w:rPr>
        <w:t>Załącznik</w:t>
      </w:r>
    </w:p>
    <w:p w:rsidR="00411DDA" w:rsidRPr="00531A54" w:rsidRDefault="00411DDA" w:rsidP="00411DDA">
      <w:pPr>
        <w:spacing w:line="276" w:lineRule="auto"/>
        <w:ind w:left="5940"/>
        <w:jc w:val="left"/>
        <w:rPr>
          <w:rFonts w:eastAsia="Calibri"/>
          <w:lang w:eastAsia="en-US" w:bidi="ar-SA"/>
        </w:rPr>
      </w:pPr>
      <w:r w:rsidRPr="00531A54">
        <w:rPr>
          <w:rFonts w:eastAsia="Calibri"/>
          <w:lang w:eastAsia="en-US" w:bidi="ar-SA"/>
        </w:rPr>
        <w:t>do uchwały Nr ………..</w:t>
      </w:r>
    </w:p>
    <w:p w:rsidR="00411DDA" w:rsidRPr="00531A54" w:rsidRDefault="00411DDA" w:rsidP="00411DDA">
      <w:pPr>
        <w:spacing w:line="276" w:lineRule="auto"/>
        <w:ind w:left="5940"/>
        <w:jc w:val="left"/>
        <w:rPr>
          <w:rFonts w:eastAsia="Calibri"/>
          <w:lang w:eastAsia="en-US" w:bidi="ar-SA"/>
        </w:rPr>
      </w:pPr>
      <w:r w:rsidRPr="00531A54">
        <w:rPr>
          <w:rFonts w:eastAsia="Calibri"/>
          <w:lang w:eastAsia="en-US" w:bidi="ar-SA"/>
        </w:rPr>
        <w:t>Rady Miejskiej w Łodzi</w:t>
      </w:r>
    </w:p>
    <w:p w:rsidR="00411DDA" w:rsidRPr="00531A54" w:rsidRDefault="00411DDA" w:rsidP="00411DDA">
      <w:pPr>
        <w:spacing w:line="276" w:lineRule="auto"/>
        <w:ind w:left="5940"/>
        <w:jc w:val="left"/>
        <w:rPr>
          <w:rFonts w:eastAsia="Calibri"/>
          <w:lang w:eastAsia="en-US" w:bidi="ar-SA"/>
        </w:rPr>
      </w:pPr>
      <w:r w:rsidRPr="00531A54">
        <w:rPr>
          <w:rFonts w:eastAsia="Calibri"/>
          <w:lang w:eastAsia="en-US" w:bidi="ar-SA"/>
        </w:rPr>
        <w:t>z dnia …………………….</w:t>
      </w:r>
    </w:p>
    <w:p w:rsidR="00411DDA" w:rsidRPr="00531A54" w:rsidRDefault="00411DDA" w:rsidP="00411DDA">
      <w:pPr>
        <w:spacing w:line="276" w:lineRule="auto"/>
        <w:rPr>
          <w:rFonts w:eastAsia="Calibri"/>
          <w:lang w:eastAsia="en-US" w:bidi="ar-SA"/>
        </w:rPr>
      </w:pPr>
    </w:p>
    <w:p w:rsidR="00411DDA" w:rsidRPr="00531A54" w:rsidRDefault="00411DDA" w:rsidP="00411DDA">
      <w:pPr>
        <w:spacing w:line="276" w:lineRule="auto"/>
        <w:rPr>
          <w:rFonts w:eastAsia="Calibri"/>
          <w:lang w:eastAsia="en-US" w:bidi="ar-SA"/>
        </w:rPr>
      </w:pPr>
      <w:r w:rsidRPr="00531A54">
        <w:rPr>
          <w:rFonts w:eastAsia="Calibri"/>
          <w:lang w:eastAsia="en-US" w:bidi="ar-SA"/>
        </w:rPr>
        <w:t>UZASADNIENIE</w:t>
      </w:r>
    </w:p>
    <w:p w:rsidR="00411DDA" w:rsidRPr="007B03E8" w:rsidRDefault="00411DDA" w:rsidP="00411DDA">
      <w:pPr>
        <w:autoSpaceDE w:val="0"/>
        <w:autoSpaceDN w:val="0"/>
        <w:spacing w:line="276" w:lineRule="auto"/>
        <w:ind w:firstLine="709"/>
        <w:jc w:val="both"/>
        <w:rPr>
          <w:bCs/>
          <w:color w:val="000000"/>
          <w:lang w:bidi="ar-SA"/>
        </w:rPr>
      </w:pPr>
    </w:p>
    <w:p w:rsidR="00411DDA" w:rsidRPr="00D50971" w:rsidRDefault="00411DDA" w:rsidP="00411DDA">
      <w:pPr>
        <w:spacing w:line="276" w:lineRule="auto"/>
        <w:ind w:firstLine="709"/>
        <w:jc w:val="both"/>
        <w:rPr>
          <w:bCs/>
        </w:rPr>
      </w:pPr>
      <w:r>
        <w:rPr>
          <w:bCs/>
          <w:lang w:bidi="ar-SA"/>
        </w:rPr>
        <w:t>Do</w:t>
      </w:r>
      <w:r w:rsidRPr="00D50971">
        <w:rPr>
          <w:bCs/>
          <w:lang w:bidi="ar-SA"/>
        </w:rPr>
        <w:t xml:space="preserve"> Rady Miejskiej w Łodzi została złożona petycja </w:t>
      </w:r>
      <w:r w:rsidRPr="00030D76">
        <w:t xml:space="preserve">dotycząca </w:t>
      </w:r>
      <w:r>
        <w:t xml:space="preserve">stanu i </w:t>
      </w:r>
      <w:r w:rsidRPr="00030D76">
        <w:t>wyposażenia technicznego mieszkaniowego zasobu Miasta Łodzi</w:t>
      </w:r>
      <w:r>
        <w:t xml:space="preserve"> – apel o podjęcie działań</w:t>
      </w:r>
      <w:r w:rsidRPr="00030D76">
        <w:t>.</w:t>
      </w:r>
    </w:p>
    <w:p w:rsidR="00411DDA" w:rsidRDefault="00411DDA" w:rsidP="00411DDA">
      <w:pPr>
        <w:spacing w:line="276" w:lineRule="auto"/>
        <w:ind w:firstLine="709"/>
        <w:jc w:val="both"/>
      </w:pPr>
      <w:r>
        <w:t>Kierunki niezbędnych działań Miasta w tym sektorze zawarte są w „Wieloletnim programie gospodarowania zasobem mieszkaniowym Miasta Łodzi na lata 2025-2030”.</w:t>
      </w:r>
    </w:p>
    <w:p w:rsidR="00411DDA" w:rsidRDefault="00411DDA" w:rsidP="00411DDA">
      <w:pPr>
        <w:spacing w:line="276" w:lineRule="auto"/>
        <w:ind w:firstLine="709"/>
        <w:jc w:val="both"/>
      </w:pPr>
      <w:r>
        <w:t xml:space="preserve">Wszystkie działania zmierzające do poprawy stanu technicznego budynków należących do miasta Łodzi oraz podniesienia standardu lokali poprzez doposażenie ich w instalacje oraz łazienki i </w:t>
      </w:r>
      <w:proofErr w:type="spellStart"/>
      <w:r>
        <w:t>wc</w:t>
      </w:r>
      <w:proofErr w:type="spellEnd"/>
      <w:r>
        <w:t xml:space="preserve">, muszą uwzględniać </w:t>
      </w:r>
      <w:proofErr w:type="spellStart"/>
      <w:r>
        <w:t>organizacyjno</w:t>
      </w:r>
      <w:proofErr w:type="spellEnd"/>
      <w:r>
        <w:t xml:space="preserve"> – finansowe możliwości Miasta.</w:t>
      </w:r>
    </w:p>
    <w:p w:rsidR="00411DDA" w:rsidRDefault="00411DDA" w:rsidP="00411DDA">
      <w:pPr>
        <w:spacing w:line="276" w:lineRule="auto"/>
        <w:ind w:firstLine="709"/>
        <w:jc w:val="both"/>
      </w:pPr>
      <w:r>
        <w:t xml:space="preserve">Miasto, w celu podniesienia standardu lokali, położyło nacisk na remonty wolnych lokali przeznaczonych do ponownego zasiedlenia, które swoim zakresem obejmują wymianę wszystkich instalacji oraz tam, gdzie jest to możliwe doposażenie lokali w łazienkę i </w:t>
      </w:r>
      <w:proofErr w:type="spellStart"/>
      <w:r>
        <w:t>wc</w:t>
      </w:r>
      <w:proofErr w:type="spellEnd"/>
      <w:r>
        <w:t xml:space="preserve">. </w:t>
      </w:r>
    </w:p>
    <w:p w:rsidR="00411DDA" w:rsidRDefault="00411DDA" w:rsidP="00411DDA">
      <w:pPr>
        <w:spacing w:line="276" w:lineRule="auto"/>
        <w:ind w:firstLine="709"/>
        <w:jc w:val="both"/>
      </w:pPr>
      <w:r>
        <w:t>Możliwość najmu lokali mieszkalnych wymagających remontu, przewidują zasady wynajmowania lokali wchodzących w skład mieszkaniowego zasobu Miasta Lodzi przyjęte uchwałą Nr LXXXV/2572/23 z dnia 20 grudnia 2023 r., obowiązującą od 1 lutego 2024 r.</w:t>
      </w:r>
    </w:p>
    <w:p w:rsidR="00411DDA" w:rsidRDefault="00411DDA" w:rsidP="00411DDA">
      <w:pPr>
        <w:spacing w:line="276" w:lineRule="auto"/>
        <w:ind w:firstLine="709"/>
        <w:jc w:val="both"/>
      </w:pPr>
      <w:r>
        <w:t xml:space="preserve">Zgodnie z wymienioną uchwałą, lokale wymagające uprzedniego remontu mogą być wynajmowane członkom wspólnoty samorządowej, m.in. których miesięczny dochód na członka gospodarstwa domowego wnioskodawcy w okresie trzech miesięcy poprzedzających złożenie wniosku o przyznanie takiego lokalu, nie przekracza górnego progu określonego w § 6 ust. 3 dla właściwego gospodarstwa domowego, który obecnie wynosi: dla gospodarstwa jednoosobowego – 4.791,22 zł, dla gospodarstwa dwuosobowego - 4.509,38 zł oraz dla gospodarstwa trzy i więcej osób - 3.851,77 zł. Nie można zatem zgodzić się z twierdzeniem, że są one zbyt niskie i wykluczają możliwość wywiązania się z zobowiązania do wykonania niezbędnych prac remontowych lub adaptacyjnych, na swój koszt i ryzyko, bez prawa zwrotu lub rozliczenia poniesionych nakładów. Dodać należy, że są to kwoty netto – po odliczeniu kosztów uzyskania przychodu, składek na ubezpieczenie społeczne i zdrowotne oraz należnego podatku dochodowego od osób fizycznych. Do dochodu nie zalicza się również różnego rodzaju zasiłków. Nie bez znaczenia jest również fakt, że Miasto ma obowiązek zaspokajania potrzeb mieszkaniowych gospodarstw o niskich dochodach. Kryterium dochodowe wskazane w § 6 ust. 1-3 cytowanej uchwały jest kryterium obowiązującym do zawarcia umowy najmu lokali z mieszkaniowego zasobu Miasta Łodzi. </w:t>
      </w:r>
    </w:p>
    <w:p w:rsidR="00411DDA" w:rsidRDefault="00411DDA" w:rsidP="00411DDA">
      <w:pPr>
        <w:spacing w:line="276" w:lineRule="auto"/>
        <w:ind w:firstLine="709"/>
        <w:jc w:val="both"/>
      </w:pPr>
      <w:r>
        <w:t xml:space="preserve">Najem lokali w wymienionym trybie stwarza możliwość uzyskania lokalu mieszkalnego, wymagającego remontu, który ze względów finansowych nie może być wyremontowany w danym roku przez wynajmującego (ZLM). Mieszkańcy Łodzi mają możliwość zawarcia umowy najmu na czas nieoznaczony, w sytuacji – gdy nie jest to możliwe np. ze względu na zbyt małą liczbę punktów, które uprawniają do umieszczenia na rocznych listach mieszkaniowych. </w:t>
      </w:r>
    </w:p>
    <w:p w:rsidR="00411DDA" w:rsidRDefault="00411DDA" w:rsidP="00411DDA">
      <w:pPr>
        <w:spacing w:line="276" w:lineRule="auto"/>
        <w:ind w:firstLine="709"/>
        <w:jc w:val="both"/>
      </w:pPr>
      <w:r>
        <w:t>Po przeznaczeniu do najmu konkretnych lokali wymagających remontu, zostanie dokonana szczegółowa analiza efektów realizacji tego programu, a w konsekwencji, ewentualnie rozważane będą zmiany zasad ich wynajmowania. W przypadku konieczności dokonania zmian w zasadach najmu lokali wymagających remontu, rozważeniu podlegać będą również sugestie Łódzkiego Stowarzyszenia Lokatorów.</w:t>
      </w:r>
    </w:p>
    <w:p w:rsidR="00411DDA" w:rsidRDefault="00411DDA" w:rsidP="00411DDA">
      <w:pPr>
        <w:spacing w:line="276" w:lineRule="auto"/>
        <w:ind w:firstLine="709"/>
        <w:jc w:val="both"/>
        <w:rPr>
          <w:bCs/>
          <w:lang w:bidi="ar-SA"/>
        </w:rPr>
      </w:pPr>
      <w:r>
        <w:t xml:space="preserve">Działania ujęte w petycji są na bieżąco realizowane przez Miasto wobec powyższego </w:t>
      </w:r>
      <w:r w:rsidRPr="00030D76">
        <w:t>Rada Miejska w Łodzi uznaje petycję za bezzasadną.</w:t>
      </w:r>
    </w:p>
    <w:p w:rsidR="00411DDA" w:rsidRDefault="00411DDA" w:rsidP="00411DDA">
      <w:pPr>
        <w:pStyle w:val="NormalnyWeb"/>
        <w:spacing w:before="0" w:beforeAutospacing="0" w:after="0" w:afterAutospacing="0" w:line="276" w:lineRule="auto"/>
        <w:ind w:firstLine="708"/>
      </w:pPr>
      <w:r>
        <w:rPr>
          <w:bCs/>
          <w:color w:val="000000"/>
        </w:rPr>
        <w:t>.</w:t>
      </w:r>
    </w:p>
    <w:bookmarkEnd w:id="0"/>
    <w:p w:rsidR="00B13424" w:rsidRDefault="00CE50F0"/>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DA"/>
    <w:rsid w:val="001A7B09"/>
    <w:rsid w:val="00411DDA"/>
    <w:rsid w:val="00776C89"/>
    <w:rsid w:val="00CE5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01E7-D30B-4201-A0F1-5BFBC749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DDA"/>
    <w:pPr>
      <w:spacing w:after="0" w:line="240" w:lineRule="auto"/>
      <w:jc w:val="center"/>
    </w:pPr>
    <w:rPr>
      <w:rFonts w:ascii="Times New Roman" w:eastAsia="Times New Roman" w:hAnsi="Times New Roman" w:cs="Times New Roman"/>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11DDA"/>
    <w:pPr>
      <w:spacing w:before="100" w:beforeAutospacing="1" w:after="100" w:afterAutospacing="1"/>
      <w:jc w:val="left"/>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3793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Violetta Gandziarska</cp:lastModifiedBy>
  <cp:revision>2</cp:revision>
  <dcterms:created xsi:type="dcterms:W3CDTF">2025-09-16T13:11:00Z</dcterms:created>
  <dcterms:modified xsi:type="dcterms:W3CDTF">2025-09-16T13:11:00Z</dcterms:modified>
</cp:coreProperties>
</file>