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F40DED" w:rsidP="00716714">
      <w:pPr>
        <w:ind w:left="5669" w:hanging="424"/>
        <w:jc w:val="left"/>
      </w:pPr>
      <w:r>
        <w:t>Druk Nr</w:t>
      </w:r>
      <w:r w:rsidR="00716714">
        <w:t xml:space="preserve"> 212/2025</w:t>
      </w:r>
    </w:p>
    <w:p w:rsidR="00A77B3E" w:rsidRDefault="00F40DED" w:rsidP="00716714">
      <w:pPr>
        <w:ind w:left="5669" w:hanging="424"/>
        <w:jc w:val="left"/>
      </w:pPr>
      <w:r>
        <w:t>Projekt z dnia</w:t>
      </w:r>
      <w:r w:rsidR="00716714">
        <w:t xml:space="preserve"> 10 października 2025 r.</w:t>
      </w:r>
    </w:p>
    <w:p w:rsidR="00A77B3E" w:rsidRDefault="00A77B3E">
      <w:pPr>
        <w:ind w:left="5669"/>
        <w:jc w:val="left"/>
      </w:pPr>
    </w:p>
    <w:p w:rsidR="00A77B3E" w:rsidRDefault="00F40DED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F40DED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F40DED">
      <w:pPr>
        <w:keepNext/>
        <w:spacing w:after="480"/>
      </w:pPr>
      <w:r>
        <w:rPr>
          <w:b/>
        </w:rPr>
        <w:t xml:space="preserve">zmieniająca uchwałę w sprawie utworzenia jednostki budżetowej pod nazwą „Centrum Świadczeń Socjalnych w Łodzi” i nadania statutu </w:t>
      </w:r>
      <w:r>
        <w:rPr>
          <w:b/>
        </w:rPr>
        <w:t>jednostce.</w:t>
      </w:r>
    </w:p>
    <w:p w:rsidR="00A77B3E" w:rsidRDefault="00F40DED">
      <w:pPr>
        <w:keepLines/>
        <w:spacing w:before="120" w:after="120"/>
        <w:ind w:firstLine="567"/>
        <w:jc w:val="both"/>
      </w:pPr>
      <w:r>
        <w:t>Na podstawie art. 9 ust. 1, art. 18 ust. 2 pkt 9 lit. h i art. 40 ust. 2 pkt 2 ustawy z dnia 8 marca 1990 r. o samorządzie gminnym (Dz. U. z 2025 r. poz. 1153), art. 12 ust. 1 pkt 2 i ust. 2 ustawy z dnia 27 sierpnia 2009 r. o finansach publiczn</w:t>
      </w:r>
      <w:r>
        <w:t>ych (Dz. U. z 2024 r. poz. 1530, 1572, 1717, 1756 i 1907 oraz z 2025 r. poz. 39 i 1180) oraz art. 4 ust. 1 w związku z art. 5 ustawy z dnia 20 lipca 2000 r. o ogłaszaniu aktów normatywnych i niektórych innych aktów prawnych (Dz. U. z 2019 r. poz. 1461), Ra</w:t>
      </w:r>
      <w:r>
        <w:t>da Miejska w Łodzi</w:t>
      </w:r>
    </w:p>
    <w:p w:rsidR="00A77B3E" w:rsidRDefault="00F40DED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F40DED">
      <w:pPr>
        <w:keepLines/>
        <w:spacing w:before="120" w:after="120"/>
        <w:ind w:firstLine="567"/>
        <w:jc w:val="both"/>
      </w:pPr>
      <w:r>
        <w:t xml:space="preserve">§ 1. W uchwale Nr LVI/1064/09 Rady Miejskiej w Łodzi z dnia 29 kwietnia 2009 r. w sprawie utworzenia jednostki budżetowej pod nazwą „Centrum Świadczeń Socjalnych w Łodzi” i nadania statutu jednostce (Dz. Urz. Woj. </w:t>
      </w:r>
      <w:r>
        <w:t>Łódzkiego z 2025 r. poz. 7238), wprowadza się następujące zmiany:</w:t>
      </w:r>
    </w:p>
    <w:p w:rsidR="00A77B3E" w:rsidRDefault="00F40DED">
      <w:pPr>
        <w:spacing w:before="120" w:after="120"/>
        <w:ind w:left="227" w:hanging="227"/>
        <w:jc w:val="both"/>
      </w:pPr>
      <w:r>
        <w:t>1) w § 2 ust. 1 otrzymuje brzmienie:</w:t>
      </w:r>
    </w:p>
    <w:p w:rsidR="00A77B3E" w:rsidRDefault="00F40DED">
      <w:pPr>
        <w:keepLines/>
        <w:spacing w:before="120" w:after="120"/>
        <w:ind w:left="340" w:firstLine="454"/>
        <w:jc w:val="left"/>
      </w:pPr>
      <w:r>
        <w:t>„1. Przedmiotem działalności Centrum będzie wykonywanie zadań w zakresie:</w:t>
      </w:r>
    </w:p>
    <w:p w:rsidR="00A77B3E" w:rsidRDefault="00F40DED">
      <w:pPr>
        <w:spacing w:before="120" w:after="120"/>
        <w:ind w:left="567" w:hanging="227"/>
        <w:jc w:val="both"/>
      </w:pPr>
      <w:r>
        <w:t>1) świadczeń rodzinnych;</w:t>
      </w:r>
    </w:p>
    <w:p w:rsidR="00A77B3E" w:rsidRDefault="00F40DED">
      <w:pPr>
        <w:spacing w:before="120" w:after="120"/>
        <w:ind w:left="567" w:hanging="227"/>
        <w:jc w:val="both"/>
      </w:pPr>
      <w:r>
        <w:t>2) zasiłków dla opiekunów;</w:t>
      </w:r>
    </w:p>
    <w:p w:rsidR="00A77B3E" w:rsidRDefault="00F40DED">
      <w:pPr>
        <w:spacing w:before="120" w:after="120"/>
        <w:ind w:left="567" w:hanging="227"/>
        <w:jc w:val="both"/>
      </w:pPr>
      <w:r>
        <w:t>3) świadczeń wychowawczych;</w:t>
      </w:r>
    </w:p>
    <w:p w:rsidR="00A77B3E" w:rsidRDefault="00F40DED">
      <w:pPr>
        <w:spacing w:before="120" w:after="120"/>
        <w:ind w:left="567" w:hanging="227"/>
        <w:jc w:val="both"/>
      </w:pPr>
      <w:r>
        <w:t>4) jednorazowych świadczeń z tytułu urodzenia dziecka, u którego zdiagnozowano ciężkie  i nieodwracalne upośledzenie albo nieuleczalną chorobę zagrażającą jego życiu, które powstały w prenatalnym okresie rozwoju dziecka lub w czasie porodu;</w:t>
      </w:r>
    </w:p>
    <w:p w:rsidR="00A77B3E" w:rsidRDefault="00F40DED">
      <w:pPr>
        <w:spacing w:before="120" w:after="120"/>
        <w:ind w:left="567" w:hanging="227"/>
        <w:jc w:val="both"/>
      </w:pPr>
      <w:r>
        <w:t>5) świadczeń d</w:t>
      </w:r>
      <w:r>
        <w:t>obry start;</w:t>
      </w:r>
    </w:p>
    <w:p w:rsidR="00A77B3E" w:rsidRDefault="00F40DED">
      <w:pPr>
        <w:spacing w:before="120" w:after="120"/>
        <w:ind w:left="567" w:hanging="227"/>
        <w:jc w:val="both"/>
      </w:pPr>
      <w:r>
        <w:t>6) świadczeń alimentacyjnych;</w:t>
      </w:r>
    </w:p>
    <w:p w:rsidR="00A77B3E" w:rsidRDefault="00F40DED">
      <w:pPr>
        <w:spacing w:before="120" w:after="120"/>
        <w:ind w:left="567" w:hanging="227"/>
        <w:jc w:val="both"/>
      </w:pPr>
      <w:r>
        <w:t>7) dodatków mieszkaniowych;</w:t>
      </w:r>
    </w:p>
    <w:p w:rsidR="00A77B3E" w:rsidRDefault="00F40DED">
      <w:pPr>
        <w:spacing w:before="120" w:after="120"/>
        <w:ind w:left="567" w:hanging="227"/>
        <w:jc w:val="both"/>
      </w:pPr>
      <w:r>
        <w:t>8) dodatków energetycznych;</w:t>
      </w:r>
    </w:p>
    <w:p w:rsidR="00A77B3E" w:rsidRDefault="00F40DED">
      <w:pPr>
        <w:spacing w:before="120" w:after="120"/>
        <w:ind w:left="567" w:hanging="227"/>
        <w:jc w:val="both"/>
      </w:pPr>
      <w:r>
        <w:t>9) dodatków osłonowych;</w:t>
      </w:r>
    </w:p>
    <w:p w:rsidR="00A77B3E" w:rsidRDefault="00F40DED">
      <w:pPr>
        <w:spacing w:before="120" w:after="120"/>
        <w:ind w:left="567" w:hanging="227"/>
        <w:jc w:val="both"/>
      </w:pPr>
      <w:r>
        <w:t>10) dodatków węglowych;</w:t>
      </w:r>
    </w:p>
    <w:p w:rsidR="00A77B3E" w:rsidRDefault="00F40DED">
      <w:pPr>
        <w:spacing w:before="120" w:after="120"/>
        <w:ind w:left="567" w:hanging="227"/>
        <w:jc w:val="both"/>
      </w:pPr>
      <w:r>
        <w:t>11) dodatków elektrycznych;</w:t>
      </w:r>
    </w:p>
    <w:p w:rsidR="00A77B3E" w:rsidRDefault="00F40DED">
      <w:pPr>
        <w:spacing w:before="120" w:after="120"/>
        <w:ind w:left="567" w:hanging="227"/>
        <w:jc w:val="both"/>
      </w:pPr>
      <w:r>
        <w:t>12) dodatków dla gospodarstw domowych;</w:t>
      </w:r>
    </w:p>
    <w:p w:rsidR="00A77B3E" w:rsidRDefault="00F40DED">
      <w:pPr>
        <w:spacing w:before="120" w:after="120"/>
        <w:ind w:left="567" w:hanging="227"/>
        <w:jc w:val="both"/>
      </w:pPr>
      <w:r>
        <w:t xml:space="preserve">13) refundacji podatku VAT dla odbiorców </w:t>
      </w:r>
      <w:r>
        <w:t>paliw gazowych;</w:t>
      </w:r>
    </w:p>
    <w:p w:rsidR="00A77B3E" w:rsidRDefault="00F40DED">
      <w:pPr>
        <w:spacing w:before="120" w:after="120"/>
        <w:ind w:left="567" w:hanging="227"/>
        <w:jc w:val="both"/>
      </w:pPr>
      <w:r>
        <w:t>14) bonu energetycznego;</w:t>
      </w:r>
    </w:p>
    <w:p w:rsidR="00A77B3E" w:rsidRDefault="00F40DED">
      <w:pPr>
        <w:spacing w:before="120" w:after="120"/>
        <w:ind w:left="567" w:hanging="227"/>
        <w:jc w:val="both"/>
      </w:pPr>
      <w:r>
        <w:lastRenderedPageBreak/>
        <w:t>15) bonu ciepłowniczego;</w:t>
      </w:r>
    </w:p>
    <w:p w:rsidR="00A77B3E" w:rsidRDefault="00F40DED">
      <w:pPr>
        <w:spacing w:before="120" w:after="120"/>
        <w:ind w:left="567" w:hanging="227"/>
        <w:jc w:val="both"/>
      </w:pPr>
      <w:r>
        <w:t>16) działań wobec dłużników alimentacyjnych;</w:t>
      </w:r>
    </w:p>
    <w:p w:rsidR="00A77B3E" w:rsidRDefault="00F40DED">
      <w:pPr>
        <w:spacing w:before="120" w:after="120"/>
        <w:ind w:left="567" w:hanging="227"/>
        <w:jc w:val="both"/>
      </w:pPr>
      <w:r>
        <w:t>17) zaświadczeń o wysokości przeciętnego miesięcznego dochodu wymaganych do uzyskania dofinansowania z Narodowego Funduszu Ochrony Środowiska i G</w:t>
      </w:r>
      <w:r>
        <w:t>ospodarki Wodnej lub wojewódzkich funduszy ochrony środowiska i gospodarki wodnej.”;</w:t>
      </w:r>
    </w:p>
    <w:p w:rsidR="00A77B3E" w:rsidRDefault="00F40DED">
      <w:pPr>
        <w:spacing w:before="120" w:after="120"/>
        <w:ind w:left="227" w:hanging="227"/>
        <w:jc w:val="both"/>
      </w:pPr>
      <w:r>
        <w:t>2) w statucie jednostki budżetowej pn. „Centrum Świadczeń Socjalnych w Łodzi”, stanowiącym załącznik do uchwały, § 2 otrzymuje brzmienie:</w:t>
      </w:r>
    </w:p>
    <w:p w:rsidR="00A77B3E" w:rsidRDefault="00F40DED">
      <w:pPr>
        <w:keepLines/>
        <w:spacing w:before="120" w:after="120"/>
        <w:ind w:left="340" w:firstLine="454"/>
        <w:jc w:val="both"/>
      </w:pPr>
      <w:r>
        <w:t>„§ 2. Do zadań statutowych Centru</w:t>
      </w:r>
      <w:r>
        <w:t>m należy realizowanie zadań w zakresie świadczeń rodzinnych, zasiłków dla opiekunów, świadczeń wychowawczych, jednorazowych świadczeń z tytułu urodzenia dziecka, u którego zdiagnozowano ciężkie i nieodwracalne upośledzenie albo nieuleczalną chorobę zagraża</w:t>
      </w:r>
      <w:r>
        <w:t xml:space="preserve">jącą jego życiu, które powstały w prenatalnym okresie rozwoju dziecka lub w czasie porodu, świadczeń dobry start, świadczeń alimentacyjnych, dodatków mieszkaniowych, dodatków energetycznych, dodatków osłonowych, dodatków węglowych, dodatków elektrycznych, </w:t>
      </w:r>
      <w:r>
        <w:t>dodatków dla gospodarstw domowych, refundacji podatku VAT dla odbiorców paliw gazowych, bonu energetycznego, bonu ciepłowniczego, działań podejmowanych wobec dłużnika alimentacyjnego oraz zaświadczeń o wysokości przeciętnego miesięcznego dochodu wymaganych</w:t>
      </w:r>
      <w:r>
        <w:t xml:space="preserve"> do uzyskania dofinansowania z Narodowego Funduszu Ochrony Środowiska i Gospodarki Wodnej lub wojewódzkich funduszy ochrony środowiska i gospodarki wodnej, a w szczególności:</w:t>
      </w:r>
    </w:p>
    <w:p w:rsidR="00A77B3E" w:rsidRDefault="00F40DED">
      <w:pPr>
        <w:spacing w:before="120" w:after="120"/>
        <w:ind w:left="567" w:hanging="227"/>
        <w:jc w:val="both"/>
      </w:pPr>
      <w:r>
        <w:t>1) obsługa osób ubiegających się o świadczenia, w tym wydawanie i przyjmowanie wn</w:t>
      </w:r>
      <w:r>
        <w:t>iosków oraz udzielanie informacji;</w:t>
      </w:r>
    </w:p>
    <w:p w:rsidR="00A77B3E" w:rsidRDefault="00F40DED">
      <w:pPr>
        <w:spacing w:before="120" w:after="120"/>
        <w:ind w:left="567" w:hanging="227"/>
        <w:jc w:val="both"/>
      </w:pPr>
      <w:r>
        <w:t>2) prowadzenie postępowań mających na celu ustalenie prawa do świadczeń;</w:t>
      </w:r>
    </w:p>
    <w:p w:rsidR="00A77B3E" w:rsidRDefault="00F40DED">
      <w:pPr>
        <w:spacing w:before="120" w:after="120"/>
        <w:ind w:left="567" w:hanging="227"/>
        <w:jc w:val="both"/>
      </w:pPr>
      <w:r>
        <w:t>3) wypłata świadczeń;</w:t>
      </w:r>
    </w:p>
    <w:p w:rsidR="00A77B3E" w:rsidRDefault="00F40DED">
      <w:pPr>
        <w:spacing w:before="120" w:after="120"/>
        <w:ind w:left="567" w:hanging="227"/>
        <w:jc w:val="both"/>
      </w:pPr>
      <w:r>
        <w:t>4) postępowanie w sprawach świadczeń nienależnych;</w:t>
      </w:r>
    </w:p>
    <w:p w:rsidR="00A77B3E" w:rsidRDefault="00F40DED">
      <w:pPr>
        <w:spacing w:before="120" w:after="120"/>
        <w:ind w:left="567" w:hanging="227"/>
        <w:jc w:val="both"/>
      </w:pPr>
      <w:r>
        <w:t>5) prowadzenie spraw dotyczących dłużników alimentacyjnych.”.</w:t>
      </w:r>
    </w:p>
    <w:p w:rsidR="00A77B3E" w:rsidRDefault="00F40DED">
      <w:pPr>
        <w:keepLines/>
        <w:spacing w:before="120" w:after="120"/>
        <w:ind w:firstLine="567"/>
        <w:jc w:val="both"/>
      </w:pPr>
      <w:r>
        <w:t>§ 2. Wykonani</w:t>
      </w:r>
      <w:r>
        <w:t>e uchwały powierza się Prezydentowi Miasta Łodzi.</w:t>
      </w:r>
    </w:p>
    <w:p w:rsidR="00A77B3E" w:rsidRDefault="00F40DED">
      <w:pPr>
        <w:keepNext/>
        <w:keepLines/>
        <w:spacing w:before="120" w:after="120"/>
        <w:ind w:firstLine="567"/>
        <w:jc w:val="both"/>
      </w:pPr>
      <w:r>
        <w:t>§ 3. Uchwała podlega publikacji w Dzienniku Urzędowym Województwa Łódzkiego i wchodzi w życie z mocą od dnia 3 listopada 2025 r.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33585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852" w:rsidRDefault="00335852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852" w:rsidRDefault="00F40DED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F40DED">
      <w:pPr>
        <w:ind w:left="283" w:firstLine="227"/>
        <w:jc w:val="both"/>
      </w:pPr>
      <w:r>
        <w:t xml:space="preserve">Projektodawcą </w:t>
      </w:r>
      <w:r>
        <w:t>jest</w:t>
      </w:r>
    </w:p>
    <w:p w:rsidR="00A77B3E" w:rsidRDefault="00F40DED">
      <w:pPr>
        <w:ind w:left="283" w:firstLine="227"/>
        <w:jc w:val="both"/>
      </w:pPr>
      <w:r>
        <w:t>Prezydent Miasta Łodzi</w:t>
      </w:r>
    </w:p>
    <w:p w:rsidR="00C05AB9" w:rsidRDefault="00C05AB9">
      <w:pPr>
        <w:ind w:left="283" w:firstLine="227"/>
        <w:jc w:val="both"/>
      </w:pPr>
    </w:p>
    <w:p w:rsidR="00C05AB9" w:rsidRDefault="00C05AB9">
      <w:pPr>
        <w:ind w:left="283" w:firstLine="227"/>
        <w:jc w:val="both"/>
      </w:pPr>
    </w:p>
    <w:p w:rsidR="00C05AB9" w:rsidRDefault="00C05AB9">
      <w:pPr>
        <w:ind w:left="283" w:firstLine="227"/>
        <w:jc w:val="both"/>
      </w:pPr>
    </w:p>
    <w:p w:rsidR="00C05AB9" w:rsidRDefault="00C05AB9">
      <w:pPr>
        <w:ind w:left="283" w:firstLine="227"/>
        <w:jc w:val="both"/>
      </w:pPr>
    </w:p>
    <w:p w:rsidR="00C05AB9" w:rsidRPr="00B25BD7" w:rsidRDefault="00C05AB9" w:rsidP="00C05AB9">
      <w:pPr>
        <w:rPr>
          <w:b/>
        </w:rPr>
      </w:pPr>
      <w:r w:rsidRPr="00B25BD7">
        <w:rPr>
          <w:b/>
        </w:rPr>
        <w:lastRenderedPageBreak/>
        <w:t>UZASADNIENIE</w:t>
      </w:r>
    </w:p>
    <w:p w:rsidR="00C05AB9" w:rsidRPr="00B25BD7" w:rsidRDefault="00C05AB9" w:rsidP="00C05AB9">
      <w:pPr>
        <w:rPr>
          <w:b/>
        </w:rPr>
      </w:pPr>
      <w:r w:rsidRPr="00B25BD7">
        <w:rPr>
          <w:b/>
        </w:rPr>
        <w:t>DO PROJEKTU UCHWAŁY RADY MIEJSKIEJ W ŁODZI</w:t>
      </w:r>
    </w:p>
    <w:p w:rsidR="00C05AB9" w:rsidRPr="00B25BD7" w:rsidRDefault="00C05AB9" w:rsidP="00C05AB9"/>
    <w:p w:rsidR="00C05AB9" w:rsidRPr="00B25BD7" w:rsidRDefault="00C05AB9" w:rsidP="00C05AB9">
      <w:pPr>
        <w:pStyle w:val="NormalnyWeb"/>
        <w:spacing w:before="0" w:after="0"/>
        <w:ind w:right="70"/>
        <w:jc w:val="both"/>
        <w:rPr>
          <w:b/>
          <w:color w:val="000000"/>
        </w:rPr>
      </w:pPr>
      <w:r w:rsidRPr="00B25BD7">
        <w:rPr>
          <w:b/>
          <w:color w:val="000000"/>
        </w:rPr>
        <w:t>zmieniającej uchwałę w sprawie utworzenia jednostki budżetowej pod nazwą „Centrum Świadczeń Socjalnych w Łodzi” i nadania statutu jednostce.</w:t>
      </w:r>
    </w:p>
    <w:p w:rsidR="00C05AB9" w:rsidRPr="00B25BD7" w:rsidRDefault="00C05AB9" w:rsidP="00C05AB9">
      <w:pPr>
        <w:jc w:val="both"/>
      </w:pPr>
    </w:p>
    <w:p w:rsidR="00C05AB9" w:rsidRDefault="00C05AB9" w:rsidP="00C05AB9">
      <w:pPr>
        <w:ind w:firstLine="708"/>
        <w:jc w:val="both"/>
      </w:pPr>
      <w:r w:rsidRPr="00B25BD7">
        <w:tab/>
      </w:r>
      <w:r w:rsidRPr="008B2224">
        <w:t xml:space="preserve">Ustawą z dnia </w:t>
      </w:r>
      <w:r>
        <w:t>12</w:t>
      </w:r>
      <w:r w:rsidRPr="004F666F">
        <w:t xml:space="preserve"> </w:t>
      </w:r>
      <w:r>
        <w:t>września</w:t>
      </w:r>
      <w:r w:rsidRPr="004F666F">
        <w:t xml:space="preserve"> 202</w:t>
      </w:r>
      <w:r>
        <w:t>5</w:t>
      </w:r>
      <w:r w:rsidRPr="004F666F">
        <w:t xml:space="preserve"> r. o bonie </w:t>
      </w:r>
      <w:r>
        <w:t>ciepłowniczym</w:t>
      </w:r>
      <w:r w:rsidRPr="004F666F">
        <w:t xml:space="preserve"> oraz </w:t>
      </w:r>
      <w:r>
        <w:t xml:space="preserve">o </w:t>
      </w:r>
      <w:r w:rsidRPr="004F666F">
        <w:t xml:space="preserve">zmianie niektórych ustaw w celu ograniczenia </w:t>
      </w:r>
      <w:r>
        <w:t xml:space="preserve">wysokości </w:t>
      </w:r>
      <w:r w:rsidRPr="004F666F">
        <w:t xml:space="preserve">cen energii </w:t>
      </w:r>
      <w:r>
        <w:t>elektrycznej</w:t>
      </w:r>
      <w:r w:rsidRPr="004F666F">
        <w:t xml:space="preserve"> (Dz.</w:t>
      </w:r>
      <w:r w:rsidRPr="008B2224">
        <w:t xml:space="preserve"> U. z </w:t>
      </w:r>
      <w:r w:rsidRPr="00165867">
        <w:t>202</w:t>
      </w:r>
      <w:r>
        <w:t>5</w:t>
      </w:r>
      <w:r w:rsidRPr="00165867">
        <w:t xml:space="preserve"> r. poz. </w:t>
      </w:r>
      <w:r>
        <w:t>1302</w:t>
      </w:r>
      <w:r w:rsidRPr="008B2224">
        <w:t xml:space="preserve">) nałożono na gminy obowiązek wykonywania zadań związanych z wypłatą </w:t>
      </w:r>
      <w:r>
        <w:t>bonu ciepłowniczego</w:t>
      </w:r>
      <w:r w:rsidRPr="008B2224">
        <w:t>.</w:t>
      </w:r>
    </w:p>
    <w:p w:rsidR="00C05AB9" w:rsidRPr="008B2224" w:rsidRDefault="00C05AB9" w:rsidP="00C05AB9">
      <w:pPr>
        <w:ind w:firstLine="708"/>
        <w:jc w:val="both"/>
      </w:pPr>
      <w:r w:rsidRPr="008B2224">
        <w:t xml:space="preserve">Wypłata </w:t>
      </w:r>
      <w:r>
        <w:t xml:space="preserve">bonu ciepłowniczego </w:t>
      </w:r>
      <w:r w:rsidRPr="008B2224">
        <w:t>jest zadaniem zleconym gminie</w:t>
      </w:r>
      <w:r>
        <w:t xml:space="preserve"> z zakresu administracji rządowej</w:t>
      </w:r>
      <w:r w:rsidRPr="008B2224">
        <w:t>.</w:t>
      </w:r>
      <w:r>
        <w:t xml:space="preserve"> </w:t>
      </w:r>
      <w:r w:rsidRPr="008B2224">
        <w:t xml:space="preserve">W ramach tego zadania </w:t>
      </w:r>
      <w:r>
        <w:t>bon ciepłowniczy</w:t>
      </w:r>
      <w:r w:rsidRPr="008B2224">
        <w:t xml:space="preserve"> przyznaje wójt, burmistrz lub prezydent miasta. </w:t>
      </w:r>
    </w:p>
    <w:p w:rsidR="00C05AB9" w:rsidRDefault="00C05AB9" w:rsidP="00C05AB9">
      <w:pPr>
        <w:ind w:firstLine="708"/>
        <w:jc w:val="both"/>
      </w:pPr>
    </w:p>
    <w:p w:rsidR="00C05AB9" w:rsidRPr="000E092D" w:rsidRDefault="00C05AB9" w:rsidP="00C05AB9">
      <w:pPr>
        <w:ind w:firstLine="708"/>
        <w:jc w:val="both"/>
      </w:pPr>
      <w:r w:rsidRPr="000E092D">
        <w:t>Bon ciepłowniczy przysługuje gospodarstwom domowym, które korzystają z ciepła systemowego, w sytuacji gdy jednoskładnikowa cena ciepła za 1 GJ wynosi powyżej 170 zł. netto.</w:t>
      </w:r>
    </w:p>
    <w:p w:rsidR="00C05AB9" w:rsidRPr="00830DEC" w:rsidRDefault="00C05AB9" w:rsidP="00C05AB9">
      <w:pPr>
        <w:ind w:firstLine="708"/>
        <w:jc w:val="both"/>
      </w:pPr>
      <w:r>
        <w:t xml:space="preserve">Uprawnienie do bonu ciepłowniczego uzależnione jest od wysokości dochodu osiąganego przez gospodarstwo domowe. Za dochód uważa się dochód </w:t>
      </w:r>
      <w:r w:rsidRPr="007772F2">
        <w:t xml:space="preserve">w rozumieniu art. 3 </w:t>
      </w:r>
      <w:r>
        <w:br/>
      </w:r>
      <w:r w:rsidRPr="007772F2">
        <w:t>pkt 1 ustawy z dnia 28 listopada 2003 r. o świadcz</w:t>
      </w:r>
      <w:r>
        <w:t xml:space="preserve">eniach rodzinnych (Dz. U. z 2025 r. </w:t>
      </w:r>
      <w:r>
        <w:br/>
        <w:t>poz. 1208</w:t>
      </w:r>
      <w:r w:rsidRPr="007772F2">
        <w:t>)</w:t>
      </w:r>
      <w:r>
        <w:t xml:space="preserve">. </w:t>
      </w:r>
      <w:r w:rsidRPr="000E092D">
        <w:t xml:space="preserve">Ponadto </w:t>
      </w:r>
      <w:r w:rsidRPr="005F2FB1">
        <w:t xml:space="preserve">dokonując weryfikacji wniosku o wypłatę bonu </w:t>
      </w:r>
      <w:r>
        <w:t>ciepłownicze</w:t>
      </w:r>
      <w:r w:rsidRPr="005F2FB1">
        <w:t>go bierze się pod uwagę w</w:t>
      </w:r>
      <w:r w:rsidRPr="000E092D">
        <w:t xml:space="preserve"> szczególności informacje uzyskane w związku z postępowaniem o przyznanie świadczeń rodzinnych, dodatku osłonowego, dodatku mieszkaniowego oraz bonu energetycznego. </w:t>
      </w:r>
    </w:p>
    <w:p w:rsidR="00C05AB9" w:rsidRPr="008B2224" w:rsidRDefault="00C05AB9" w:rsidP="00C05AB9">
      <w:pPr>
        <w:ind w:firstLine="708"/>
        <w:jc w:val="both"/>
      </w:pPr>
    </w:p>
    <w:p w:rsidR="00C05AB9" w:rsidRPr="008B2224" w:rsidRDefault="00C05AB9" w:rsidP="00C05AB9">
      <w:pPr>
        <w:ind w:firstLine="708"/>
        <w:jc w:val="both"/>
      </w:pPr>
      <w:r w:rsidRPr="008B2224">
        <w:tab/>
        <w:t>Zadania w zakresie świadczeń rodzinnych</w:t>
      </w:r>
      <w:r>
        <w:t>, dodatku osłonowego, dodatku mieszkaniowego oraz bonu energetycznego</w:t>
      </w:r>
      <w:r w:rsidRPr="008B2224">
        <w:t xml:space="preserve"> realizuje jednostka budżetowa Centrum Świadczeń Socjalnych w Łodzi. Zatem zasadnym jest powierzenie Centrum Świadczeń Socjalnych </w:t>
      </w:r>
      <w:r>
        <w:br/>
      </w:r>
      <w:r w:rsidRPr="008B2224">
        <w:t xml:space="preserve">w Łodzi realizacji zadania z zakresu wypłaty </w:t>
      </w:r>
      <w:r>
        <w:t>bonu ciepłowniczego.</w:t>
      </w:r>
    </w:p>
    <w:p w:rsidR="00C05AB9" w:rsidRPr="008B2224" w:rsidRDefault="00C05AB9" w:rsidP="00C05AB9">
      <w:pPr>
        <w:ind w:firstLine="708"/>
        <w:jc w:val="both"/>
      </w:pPr>
    </w:p>
    <w:p w:rsidR="00C05AB9" w:rsidRPr="008B2224" w:rsidRDefault="00C05AB9" w:rsidP="00C05AB9">
      <w:pPr>
        <w:ind w:firstLine="708"/>
        <w:jc w:val="both"/>
      </w:pPr>
      <w:r w:rsidRPr="008B2224">
        <w:tab/>
        <w:t xml:space="preserve">Zgodnie z art. 12 ust. 2 ustawy z dnia 27 sierpnia 2009 r. o finansach publicznych </w:t>
      </w:r>
      <w:r>
        <w:br/>
      </w:r>
      <w:r w:rsidRPr="008B2224">
        <w:t>(Dz. U. z 202</w:t>
      </w:r>
      <w:r>
        <w:t>4</w:t>
      </w:r>
      <w:r w:rsidRPr="008B2224">
        <w:t xml:space="preserve"> r. poz. </w:t>
      </w:r>
      <w:r>
        <w:t>1530</w:t>
      </w:r>
      <w:r w:rsidRPr="008B2224">
        <w:t xml:space="preserve"> </w:t>
      </w:r>
      <w:r w:rsidRPr="000E092D">
        <w:t xml:space="preserve">z </w:t>
      </w:r>
      <w:proofErr w:type="spellStart"/>
      <w:r w:rsidRPr="000E092D">
        <w:t>późn</w:t>
      </w:r>
      <w:proofErr w:type="spellEnd"/>
      <w:r w:rsidRPr="000E092D">
        <w:t>. zm.</w:t>
      </w:r>
      <w:r w:rsidRPr="008B2224">
        <w:t xml:space="preserve">) statut jednostki budżetowej nadawany jest przez gminne organy stanowiące, a więc Radę Miejską w Łodzi. Jednostka budżetowa działa </w:t>
      </w:r>
      <w:r>
        <w:br/>
      </w:r>
      <w:r w:rsidRPr="008B2224">
        <w:t xml:space="preserve">na podstawie statutu, który określa w szczególności przedmiot jej działalności. </w:t>
      </w:r>
    </w:p>
    <w:p w:rsidR="00C05AB9" w:rsidRPr="008B2224" w:rsidRDefault="00C05AB9" w:rsidP="00C05AB9">
      <w:pPr>
        <w:ind w:firstLine="708"/>
        <w:jc w:val="both"/>
      </w:pPr>
    </w:p>
    <w:p w:rsidR="00C05AB9" w:rsidRDefault="00C05AB9" w:rsidP="00C05AB9">
      <w:pPr>
        <w:ind w:firstLine="708"/>
        <w:jc w:val="both"/>
      </w:pPr>
      <w:r>
        <w:t>Ustawa</w:t>
      </w:r>
      <w:r w:rsidRPr="008B2224">
        <w:t xml:space="preserve"> o</w:t>
      </w:r>
      <w:r w:rsidRPr="004F666F">
        <w:t xml:space="preserve"> bonie </w:t>
      </w:r>
      <w:r>
        <w:t>ciepłownicz</w:t>
      </w:r>
      <w:r w:rsidRPr="004F666F">
        <w:t xml:space="preserve">ym oraz </w:t>
      </w:r>
      <w:r>
        <w:t xml:space="preserve">o </w:t>
      </w:r>
      <w:r w:rsidRPr="004F666F">
        <w:t xml:space="preserve">zmianie niektórych ustaw w celu ograniczenia </w:t>
      </w:r>
      <w:r>
        <w:br/>
        <w:t xml:space="preserve">wysokości </w:t>
      </w:r>
      <w:r w:rsidRPr="004F666F">
        <w:t xml:space="preserve">cen energii elektrycznej </w:t>
      </w:r>
      <w:r>
        <w:t xml:space="preserve">weszła w życie z dniem </w:t>
      </w:r>
      <w:r w:rsidRPr="00890157">
        <w:t xml:space="preserve">30 września 2025 r. </w:t>
      </w:r>
      <w:r>
        <w:t xml:space="preserve">a wnioski </w:t>
      </w:r>
      <w:r>
        <w:br/>
        <w:t>o wypłatę bonu ciepłowniczego można składać od 3 listopada 2025 r.</w:t>
      </w:r>
    </w:p>
    <w:p w:rsidR="00C05AB9" w:rsidRDefault="00C05AB9" w:rsidP="00C05AB9">
      <w:pPr>
        <w:ind w:firstLine="708"/>
        <w:jc w:val="both"/>
      </w:pPr>
    </w:p>
    <w:p w:rsidR="00C05AB9" w:rsidRPr="000E092D" w:rsidRDefault="00C05AB9" w:rsidP="00C05AB9">
      <w:pPr>
        <w:ind w:firstLine="708"/>
        <w:jc w:val="both"/>
      </w:pPr>
      <w:r w:rsidRPr="000E092D">
        <w:t xml:space="preserve">Aby wnioski złożone w okresie między wejściem w życie przepisów ww. ustawy </w:t>
      </w:r>
      <w:r>
        <w:br/>
      </w:r>
      <w:r w:rsidRPr="000E092D">
        <w:t>a podjęciem przedmiotowej uchwały przez Radę Miejską w Łodzi mogły zostać rozpatrzone przez Centrum Świadczeń Socjalnych w Łodzi, zlecenie realizacji zadania z zakresu bonu ciepłowniczego musi stać się skuteczne już od 3 listopada 2025 r.</w:t>
      </w:r>
    </w:p>
    <w:p w:rsidR="00C05AB9" w:rsidRPr="000E092D" w:rsidRDefault="00C05AB9" w:rsidP="00C05AB9">
      <w:pPr>
        <w:ind w:firstLine="708"/>
        <w:jc w:val="both"/>
      </w:pPr>
      <w:r w:rsidRPr="000E092D">
        <w:t xml:space="preserve">Dlatego też proponowana zmiana uchwały powinna wejść w życie z dniem podjęcia, </w:t>
      </w:r>
      <w:r>
        <w:br/>
      </w:r>
      <w:r w:rsidRPr="000E092D">
        <w:t>z mocą od dnia 3 listopada 2025 r.</w:t>
      </w:r>
    </w:p>
    <w:p w:rsidR="00C05AB9" w:rsidRPr="000E092D" w:rsidRDefault="00C05AB9" w:rsidP="00C05AB9">
      <w:pPr>
        <w:ind w:firstLine="708"/>
        <w:jc w:val="both"/>
      </w:pPr>
    </w:p>
    <w:p w:rsidR="00C05AB9" w:rsidRPr="000E092D" w:rsidRDefault="00C05AB9" w:rsidP="00C05AB9">
      <w:pPr>
        <w:ind w:firstLine="708"/>
        <w:jc w:val="both"/>
      </w:pPr>
      <w:r w:rsidRPr="000E092D">
        <w:t xml:space="preserve">Nadanie przez Radę Miejską w Łodzi mocy wstecznej obowiązywania uchwały służyć będzie przede wszystkim dobru mieszkańców. Zastosowanie w przedmiotowej sprawie </w:t>
      </w:r>
      <w:r w:rsidRPr="000E092D">
        <w:lastRenderedPageBreak/>
        <w:t xml:space="preserve">zasady </w:t>
      </w:r>
      <w:proofErr w:type="spellStart"/>
      <w:r w:rsidRPr="000E092D">
        <w:t>nieretroaktywności</w:t>
      </w:r>
      <w:proofErr w:type="spellEnd"/>
      <w:r w:rsidRPr="000E092D">
        <w:t xml:space="preserve"> prawa spowodowałoby niezawinione, negatywne konsekwencje dla ogółu osób uprawnionych do otrzymania bonu </w:t>
      </w:r>
      <w:r>
        <w:t>ciepłowni</w:t>
      </w:r>
      <w:r w:rsidRPr="000E092D">
        <w:t xml:space="preserve">czego. </w:t>
      </w:r>
    </w:p>
    <w:p w:rsidR="00C05AB9" w:rsidRPr="000E092D" w:rsidRDefault="00C05AB9" w:rsidP="00C05AB9">
      <w:pPr>
        <w:ind w:firstLine="708"/>
        <w:jc w:val="both"/>
      </w:pPr>
    </w:p>
    <w:p w:rsidR="00C05AB9" w:rsidRPr="000E092D" w:rsidRDefault="00C05AB9" w:rsidP="00C05AB9">
      <w:pPr>
        <w:ind w:firstLine="708"/>
        <w:jc w:val="both"/>
      </w:pPr>
      <w:r>
        <w:tab/>
      </w:r>
      <w:r w:rsidRPr="000E092D">
        <w:t xml:space="preserve">Należy zaznaczyć, iż proponowany termin rozpoczęcia obowiązywania zmiany </w:t>
      </w:r>
      <w:r>
        <w:br/>
      </w:r>
      <w:r w:rsidRPr="000E092D">
        <w:t xml:space="preserve">w uchwale nie jest sprzeczny z koniecznością dochowania 14-dniowego vacatio legis. Przepis art. 5 ustawy z dnia 20 lipca 2000 r. o ogłaszaniu aktów normatywnych i niektórych innych aktów prawnych (Dz. U. z 2019 r. poz. 1461) stanowi bowiem, iż nie wyłącza się możliwości nadania aktowi normatywnemu wstecznej mocy obowiązującej, jeżeli zasady demokratycznego państwa prawnego nie stoją temu na przeszkodzie. Trybunał Konstytucyjny w wyroku z dnia 25 września 2000 r. uznał, że działanie prawa wstecz nie oznacza naruszenia art. 2 Konstytucji, </w:t>
      </w:r>
      <w:r>
        <w:br/>
      </w:r>
      <w:r w:rsidRPr="000E092D">
        <w:t xml:space="preserve">o ile tak wprowadzone przepisy polepszają sytuację prawną niektórych adresatów danej normy prawnej i zarazem nie pogarszają sytuacji prawnej pozostałych jej adresatów (sygn. akt </w:t>
      </w:r>
      <w:r>
        <w:br/>
      </w:r>
      <w:r w:rsidRPr="000E092D">
        <w:t>K 26/99, OTK 2000 nr 6, poz. 186).</w:t>
      </w:r>
    </w:p>
    <w:p w:rsidR="00C05AB9" w:rsidRDefault="00C05AB9" w:rsidP="00C05AB9">
      <w:pPr>
        <w:ind w:firstLine="708"/>
        <w:jc w:val="both"/>
      </w:pPr>
      <w:r w:rsidRPr="008B2224">
        <w:tab/>
      </w:r>
    </w:p>
    <w:p w:rsidR="00C05AB9" w:rsidRPr="008B2224" w:rsidRDefault="00C05AB9" w:rsidP="00C05AB9">
      <w:pPr>
        <w:ind w:firstLine="708"/>
        <w:jc w:val="both"/>
      </w:pPr>
      <w:r>
        <w:tab/>
      </w:r>
      <w:r w:rsidRPr="008B2224">
        <w:t xml:space="preserve">Mając na uwadze powyższe oraz konieczność realizacji przez Centrum zadania jakim jest pomoc obywatelom w postaci wypłaty </w:t>
      </w:r>
      <w:r>
        <w:t>bonu ciepłowniczego,</w:t>
      </w:r>
      <w:r w:rsidRPr="008B2224">
        <w:t xml:space="preserve"> zasadnym jest podjęcie przedmiotowej uchwały</w:t>
      </w:r>
      <w:r>
        <w:t xml:space="preserve"> z mocą od dnia 3 listopada 2025 r.</w:t>
      </w:r>
      <w:r w:rsidRPr="008B2224">
        <w:t>, która mimo potencjalnego działania wstecz, będzie realizowała zasady demokratycznego państwa prawnego</w:t>
      </w:r>
      <w:r>
        <w:t>.</w:t>
      </w:r>
    </w:p>
    <w:p w:rsidR="00C05AB9" w:rsidRDefault="00C05AB9" w:rsidP="00C05AB9">
      <w:pPr>
        <w:ind w:left="283" w:firstLine="227"/>
        <w:jc w:val="both"/>
      </w:pPr>
    </w:p>
    <w:p w:rsidR="00C05AB9" w:rsidRDefault="00C05AB9" w:rsidP="00C05AB9">
      <w:pPr>
        <w:ind w:left="283" w:firstLine="227"/>
        <w:jc w:val="both"/>
      </w:pPr>
    </w:p>
    <w:p w:rsidR="00C05AB9" w:rsidRDefault="00C05AB9">
      <w:pPr>
        <w:ind w:left="283" w:firstLine="227"/>
        <w:jc w:val="both"/>
      </w:pPr>
    </w:p>
    <w:sectPr w:rsidR="00C05AB9" w:rsidSect="00A61DBA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ED" w:rsidRDefault="00F40DED">
      <w:r>
        <w:separator/>
      </w:r>
    </w:p>
  </w:endnote>
  <w:endnote w:type="continuationSeparator" w:id="0">
    <w:p w:rsidR="00F40DED" w:rsidRDefault="00F40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33585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35852" w:rsidRDefault="00F40DED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35852" w:rsidRDefault="00F40DE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61DB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61DBA">
            <w:rPr>
              <w:sz w:val="18"/>
            </w:rPr>
            <w:fldChar w:fldCharType="separate"/>
          </w:r>
          <w:r w:rsidR="00716714">
            <w:rPr>
              <w:noProof/>
              <w:sz w:val="18"/>
            </w:rPr>
            <w:t>1</w:t>
          </w:r>
          <w:r w:rsidR="00A61DBA">
            <w:rPr>
              <w:sz w:val="18"/>
            </w:rPr>
            <w:fldChar w:fldCharType="end"/>
          </w:r>
        </w:p>
      </w:tc>
    </w:tr>
  </w:tbl>
  <w:p w:rsidR="00335852" w:rsidRDefault="0033585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ED" w:rsidRDefault="00F40DED">
      <w:r>
        <w:separator/>
      </w:r>
    </w:p>
  </w:footnote>
  <w:footnote w:type="continuationSeparator" w:id="0">
    <w:p w:rsidR="00F40DED" w:rsidRDefault="00F40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335852"/>
    <w:rsid w:val="00562158"/>
    <w:rsid w:val="006E7359"/>
    <w:rsid w:val="00716714"/>
    <w:rsid w:val="00A61DBA"/>
    <w:rsid w:val="00A65D24"/>
    <w:rsid w:val="00A77B3E"/>
    <w:rsid w:val="00C05AB9"/>
    <w:rsid w:val="00CA2A55"/>
    <w:rsid w:val="00F4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1DBA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05AB9"/>
    <w:pPr>
      <w:spacing w:before="150" w:after="225"/>
      <w:jc w:val="left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września 2025 r.</dc:title>
  <dc:subject>zmieniająca uchwałę w^sprawie utworzenia jednostki budżetowej pod nazwą „Centrum Świadczeń Socjalnych w^Łodzi” i^nadania statutu jednostce.</dc:subject>
  <dc:creator>mstolarczyk</dc:creator>
  <cp:lastModifiedBy>sstanczyk</cp:lastModifiedBy>
  <cp:revision>4</cp:revision>
  <dcterms:created xsi:type="dcterms:W3CDTF">2025-10-10T08:41:00Z</dcterms:created>
  <dcterms:modified xsi:type="dcterms:W3CDTF">2025-10-10T10:22:00Z</dcterms:modified>
  <cp:category>Akt prawny</cp:category>
</cp:coreProperties>
</file>