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0075" w14:textId="77777777" w:rsidR="00A77B3E" w:rsidRDefault="00A77B3E">
      <w:pPr>
        <w:ind w:left="6236"/>
        <w:jc w:val="left"/>
        <w:rPr>
          <w:b/>
          <w:i/>
          <w:u w:val="thick"/>
        </w:rPr>
      </w:pPr>
    </w:p>
    <w:p w14:paraId="2894687D" w14:textId="77777777" w:rsidR="00A77B3E" w:rsidRDefault="00A77B3E">
      <w:pPr>
        <w:ind w:left="6236"/>
        <w:jc w:val="left"/>
        <w:rPr>
          <w:b/>
          <w:i/>
          <w:u w:val="thick"/>
        </w:rPr>
      </w:pPr>
    </w:p>
    <w:p w14:paraId="60795109" w14:textId="03E949BB" w:rsidR="00A77B3E" w:rsidRDefault="00A07187">
      <w:pPr>
        <w:ind w:left="6236"/>
        <w:jc w:val="left"/>
      </w:pPr>
      <w:r>
        <w:t>Druk Nr</w:t>
      </w:r>
      <w:r w:rsidR="007D6DCE">
        <w:t xml:space="preserve"> 225/2025</w:t>
      </w:r>
    </w:p>
    <w:p w14:paraId="2926A701" w14:textId="76300BEE" w:rsidR="00A77B3E" w:rsidRDefault="00A07187">
      <w:pPr>
        <w:ind w:left="6236"/>
        <w:jc w:val="left"/>
      </w:pPr>
      <w:r>
        <w:t>Projekt z dnia</w:t>
      </w:r>
      <w:r w:rsidR="007D6DCE">
        <w:t xml:space="preserve"> 14.10.2025 r.</w:t>
      </w:r>
    </w:p>
    <w:p w14:paraId="4AE197F2" w14:textId="77777777" w:rsidR="00A77B3E" w:rsidRDefault="00A77B3E">
      <w:pPr>
        <w:ind w:left="6236"/>
        <w:jc w:val="left"/>
      </w:pPr>
    </w:p>
    <w:p w14:paraId="4B8EFCCD" w14:textId="77777777" w:rsidR="00A77B3E" w:rsidRDefault="00A07187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14:paraId="47850ECD" w14:textId="77777777" w:rsidR="00A77B3E" w:rsidRDefault="00A07187">
      <w:pPr>
        <w:spacing w:before="240" w:after="240"/>
        <w:rPr>
          <w:b/>
          <w:caps/>
        </w:rPr>
      </w:pPr>
      <w:r>
        <w:rPr>
          <w:b/>
        </w:rPr>
        <w:t>z dnia                      2025 r.</w:t>
      </w:r>
    </w:p>
    <w:p w14:paraId="5695AF81" w14:textId="77777777" w:rsidR="00A77B3E" w:rsidRDefault="00A07187">
      <w:pPr>
        <w:keepNext/>
        <w:spacing w:after="480"/>
      </w:pPr>
      <w:r>
        <w:rPr>
          <w:b/>
        </w:rPr>
        <w:t xml:space="preserve">w sprawie odmowy ustalenia lokalizacji inwestycji mieszkaniowej i inwestycji towarzyszącej przy ulicach: Piotrkowskiej bez numeru, </w:t>
      </w:r>
      <w:r>
        <w:rPr>
          <w:b/>
        </w:rPr>
        <w:t>Wólczańskiej bez numeru, księdza Piotra Skargi bez numeru i Pabianickiej bez numeru w Łodzi.</w:t>
      </w:r>
    </w:p>
    <w:p w14:paraId="477ACA52" w14:textId="77777777" w:rsidR="00A77B3E" w:rsidRDefault="00A07187">
      <w:pPr>
        <w:keepLines/>
        <w:spacing w:before="240" w:after="240"/>
        <w:ind w:firstLine="567"/>
        <w:jc w:val="both"/>
      </w:pPr>
      <w:r>
        <w:t>Na podstawie art. 18 ust. 2 pkt 15 ustawy z dnia 8 marca 1990 r. o samorządzie gminnym (Dz. U. z 2025 r. poz. 1153) oraz art. 7 ust. 4 ustawy z dnia 5 lipca 2018 r</w:t>
      </w:r>
      <w:r>
        <w:t>. o ułatwieniach w przygotowaniu i realizacji inwestycji mieszkaniowych oraz inwestycji towarzyszących (Dz. U. z 2024 r. poz. 195 oraz z 2025 r. poz. 527 i 1077), Rada Miejska w Łodzi</w:t>
      </w:r>
    </w:p>
    <w:p w14:paraId="4CB07931" w14:textId="77777777" w:rsidR="00A77B3E" w:rsidRDefault="00A07187">
      <w:pPr>
        <w:spacing w:before="120" w:after="120"/>
        <w:rPr>
          <w:b/>
        </w:rPr>
      </w:pPr>
      <w:r>
        <w:rPr>
          <w:b/>
        </w:rPr>
        <w:t>uchwala, co następuje:</w:t>
      </w:r>
    </w:p>
    <w:p w14:paraId="292618A1" w14:textId="77777777" w:rsidR="00A77B3E" w:rsidRDefault="00A07187">
      <w:pPr>
        <w:keepLines/>
        <w:spacing w:before="240" w:after="120"/>
        <w:ind w:firstLine="567"/>
        <w:jc w:val="both"/>
      </w:pPr>
      <w:r>
        <w:t>§ 1. </w:t>
      </w:r>
      <w:r>
        <w:t>Odmawia się wnioskodawcy Centro Show Sp. z o</w:t>
      </w:r>
      <w:r>
        <w:t>. o. z siedzibą w Łodzi ustalenia lokalizacji inwestycji mieszkaniowej polegającej na budowie dwóch budynków wielorodzinnych z lokalami usługowymi i handlowymi oraz garażami wielostanowiskowymi wraz z obiektami budowlanymi z nimi związanymi, pod roboczą na</w:t>
      </w:r>
      <w:r>
        <w:t>zwą „Piotrkowska- Wólczańska, Apartamenty nad Dąbrówką” na działkach  nr:  177/12, 177/14, 267 i 270 oraz na częściach działek nr: 22/17, 268 i 269 w obrębie G-3 przy ulicach: Piotrkowskiej bez numeru, Wólczańskiej bez numeru i księdza Piotra Skargi bez nu</w:t>
      </w:r>
      <w:r>
        <w:t>meru w Łodzi i inwestycji towarzyszącej polegającej na budowie: drogi dojazdowej, oznaczonej w miejscowym planie zagospodarowania przestrzennego (</w:t>
      </w:r>
      <w:proofErr w:type="spellStart"/>
      <w:r>
        <w:t>mpzp</w:t>
      </w:r>
      <w:proofErr w:type="spellEnd"/>
      <w:r>
        <w:t>), przyjętym uchwałą Nr LXXXVIII/1823/14  Rady Miejskiej w Łodzi z dnia 4 czerwca 2014 r. w sprawie uchwal</w:t>
      </w:r>
      <w:r>
        <w:t xml:space="preserve">enia miejscowego planu zagospodarowania przestrzennego dla części obszaru miasta Łodzi położonej w rejonie ulic: Stanisława Przybyszewskiego, Kruczej, </w:t>
      </w:r>
      <w:proofErr w:type="spellStart"/>
      <w:r>
        <w:t>Zarzewskiej</w:t>
      </w:r>
      <w:proofErr w:type="spellEnd"/>
      <w:r>
        <w:t xml:space="preserve">, Łomżyńskiej, gen. Jarosława Dąbrowskiego, Rzgowskiej, Bednarskiej Wólczańskiej, Sieradzkiej </w:t>
      </w:r>
      <w:r>
        <w:t>i Piotrkowskiej oraz placu Reymonta (Dz. Urz. Woj. Łódzkiego poz. 2598) symbolem 12KDD1/2, placu i ciągu pieszego, oznaczonego w </w:t>
      </w:r>
      <w:proofErr w:type="spellStart"/>
      <w:r>
        <w:t>mpzp</w:t>
      </w:r>
      <w:proofErr w:type="spellEnd"/>
      <w:r>
        <w:t xml:space="preserve"> symbolem 2KP i terenu zieleni z miejscem rekreacji i placem zabaw na części terenu oznaczonego w </w:t>
      </w:r>
      <w:proofErr w:type="spellStart"/>
      <w:r>
        <w:t>mpzp</w:t>
      </w:r>
      <w:proofErr w:type="spellEnd"/>
      <w:r>
        <w:t xml:space="preserve"> symbolem 4ZP na dzia</w:t>
      </w:r>
      <w:r>
        <w:t>łkach nr: 177/11, 177/13, 193/18, 193/19, 269, 272, 276 i 278 oraz częściach działek nr: 193/17, 268 i 277 w obrębie</w:t>
      </w:r>
      <w:r>
        <w:br/>
        <w:t>G-3 przy ulicach: Piotrkowskiej bez numeru, Wólczańskiej bez numeru i Pabianickiej bez numeru w Łodzi.</w:t>
      </w:r>
    </w:p>
    <w:p w14:paraId="358BAB6F" w14:textId="77777777" w:rsidR="00A77B3E" w:rsidRDefault="00A07187">
      <w:pPr>
        <w:keepLines/>
        <w:spacing w:before="240" w:after="120"/>
        <w:ind w:firstLine="567"/>
        <w:jc w:val="both"/>
      </w:pPr>
      <w:r>
        <w:t>§ 2. </w:t>
      </w:r>
      <w:r>
        <w:t>Zgodnie z art. 15 ustawy z dnia</w:t>
      </w:r>
      <w:r>
        <w:t xml:space="preserve"> 5 lipca 2018 r. o ułatwieniach w przygotowaniu              i realizacji inwestycji mieszkaniowych oraz inwestycji towarzyszących, skarga na uchwałę          w trybie art. 101 ustawy z dnia 8 marca 1990 r. o samorządzie gminnym, może być wniesiona w termi</w:t>
      </w:r>
      <w:r>
        <w:t>nie 30 dni od dnia doręczenia tej uchwały inwestorowi.</w:t>
      </w:r>
    </w:p>
    <w:p w14:paraId="4A3C9E16" w14:textId="77777777" w:rsidR="00A77B3E" w:rsidRDefault="00A07187">
      <w:pPr>
        <w:keepLines/>
        <w:spacing w:before="240" w:after="120"/>
        <w:ind w:firstLine="567"/>
        <w:jc w:val="both"/>
      </w:pPr>
      <w:r>
        <w:t>§ 3. </w:t>
      </w:r>
      <w:r>
        <w:t>Wykonanie uchwały powierza się Prezydentowi Miasta Łodzi.</w:t>
      </w:r>
    </w:p>
    <w:p w14:paraId="128986E4" w14:textId="77777777" w:rsidR="00A77B3E" w:rsidRDefault="00A07187">
      <w:pPr>
        <w:keepNext/>
        <w:keepLines/>
        <w:spacing w:before="240" w:after="120"/>
        <w:ind w:firstLine="567"/>
        <w:jc w:val="both"/>
      </w:pPr>
      <w:r>
        <w:lastRenderedPageBreak/>
        <w:t>§ 4. </w:t>
      </w:r>
      <w:r>
        <w:t>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3C399B" w14:paraId="0AFDB16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88496" w14:textId="77777777" w:rsidR="003C399B" w:rsidRDefault="003C399B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D34B53" w14:textId="77777777" w:rsidR="003C399B" w:rsidRDefault="00A07187">
            <w:pPr>
              <w:keepLines/>
              <w:spacing w:before="520" w:after="520"/>
              <w:ind w:right="283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14:paraId="418AA464" w14:textId="77777777" w:rsidR="00A77B3E" w:rsidRDefault="00A07187">
      <w:pPr>
        <w:ind w:left="283" w:firstLine="567"/>
        <w:jc w:val="both"/>
      </w:pPr>
      <w:r>
        <w:t>Projektodawcą jest</w:t>
      </w:r>
    </w:p>
    <w:p w14:paraId="7ED1551C" w14:textId="77777777" w:rsidR="00A77B3E" w:rsidRDefault="00A07187">
      <w:pPr>
        <w:ind w:left="283" w:firstLine="567"/>
        <w:jc w:val="both"/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Prezydent Miasta Łodzi</w:t>
      </w:r>
    </w:p>
    <w:p w14:paraId="3FBB09A2" w14:textId="77777777" w:rsidR="003C399B" w:rsidRDefault="00A07187">
      <w:pPr>
        <w:spacing w:before="120" w:after="120"/>
        <w:rPr>
          <w:color w:val="000000"/>
          <w:szCs w:val="20"/>
        </w:rPr>
      </w:pPr>
      <w:r>
        <w:rPr>
          <w:b/>
          <w:color w:val="000000"/>
          <w:szCs w:val="20"/>
        </w:rPr>
        <w:lastRenderedPageBreak/>
        <w:t>Uzasadnienie</w:t>
      </w:r>
    </w:p>
    <w:p w14:paraId="056D6C70" w14:textId="77777777" w:rsidR="003C399B" w:rsidRDefault="00A07187">
      <w:pPr>
        <w:keepLines/>
        <w:spacing w:before="120" w:after="120"/>
        <w:ind w:firstLine="340"/>
        <w:jc w:val="both"/>
        <w:rPr>
          <w:szCs w:val="20"/>
        </w:rPr>
      </w:pPr>
      <w:r>
        <w:rPr>
          <w:szCs w:val="20"/>
        </w:rPr>
        <w:t xml:space="preserve">Pełnomocnik inwestora Centro Show Sp. z o.o. pismem z dnia 1 sierpnia 2025 r.  wystąpił do Rady Miejskiej w Łodzi, za pośrednictwem Prezydenta Miasta Łodzi - Biura </w:t>
      </w:r>
      <w:r>
        <w:rPr>
          <w:szCs w:val="20"/>
        </w:rPr>
        <w:t>Architekta Miasta w Departamencie Planowania i Rozwoju Gospodarczego Urzędu Miasta Łodzi, o ustalenie na podstawie art. 7 ust. 1 i 6 ustawy z dnia 5 lipca 2018 r. o ułatwieniach w przygotowaniu i realizacji inwestycji mieszkaniowych i inwestycji towarzyszą</w:t>
      </w:r>
      <w:r>
        <w:rPr>
          <w:szCs w:val="20"/>
        </w:rPr>
        <w:t>cych (</w:t>
      </w:r>
      <w:r>
        <w:rPr>
          <w:sz w:val="23"/>
          <w:szCs w:val="20"/>
        </w:rPr>
        <w:t>Dz. U. z </w:t>
      </w:r>
      <w:r>
        <w:rPr>
          <w:color w:val="000000"/>
          <w:sz w:val="23"/>
          <w:szCs w:val="20"/>
        </w:rPr>
        <w:t xml:space="preserve">2024 r. poz. 195 </w:t>
      </w:r>
      <w:r>
        <w:rPr>
          <w:color w:val="000000"/>
          <w:szCs w:val="20"/>
          <w:shd w:val="clear" w:color="auto" w:fill="FFFFFF"/>
        </w:rPr>
        <w:t>oraz z 2025 r. poz. 527), zwanej dalej specustawą lokalizacji inwestycji mieszkaniowej, polegającej na b</w:t>
      </w:r>
      <w:r>
        <w:rPr>
          <w:szCs w:val="20"/>
        </w:rPr>
        <w:t>udowie dwóch budynków wielorodzinnych z lokalami usługowymi i handlowymi oraz garażami wielostanowiskowymi wraz z obiekt</w:t>
      </w:r>
      <w:r>
        <w:rPr>
          <w:szCs w:val="20"/>
        </w:rPr>
        <w:t>ami budowlanymi z nimi związanymi pod roboczą nazwą „Piotrkowska- Wólczańska, Apartamenty nad Dąbrówką” na działkach  nr  177/12, 177/14, 267, 270 oraz na częściach działek o nr ewidencyjnych 22/17, 268, 269 w obrębie G-3 przy ulicach: Piotrkowskiej bez nu</w:t>
      </w:r>
      <w:r>
        <w:rPr>
          <w:szCs w:val="20"/>
        </w:rPr>
        <w:t>meru, Wólczańskiej bez numeru i księdza Piotra Skargi bez numeru i inwestycji towarzyszącej polegającej na budowie: drogi dojazdowej oznaczonej w Miejscowym Planie Zagospodarowania Przestrzennego (</w:t>
      </w:r>
      <w:proofErr w:type="spellStart"/>
      <w:r>
        <w:rPr>
          <w:szCs w:val="20"/>
        </w:rPr>
        <w:t>mpzp</w:t>
      </w:r>
      <w:proofErr w:type="spellEnd"/>
      <w:r>
        <w:rPr>
          <w:szCs w:val="20"/>
        </w:rPr>
        <w:t>) symbolem 12KDD1/2. placu i ciągu pieszego oznaczonego</w:t>
      </w:r>
      <w:r>
        <w:rPr>
          <w:szCs w:val="20"/>
        </w:rPr>
        <w:t xml:space="preserve"> w </w:t>
      </w:r>
      <w:proofErr w:type="spellStart"/>
      <w:r>
        <w:rPr>
          <w:szCs w:val="20"/>
        </w:rPr>
        <w:t>mpzp</w:t>
      </w:r>
      <w:proofErr w:type="spellEnd"/>
      <w:r>
        <w:rPr>
          <w:szCs w:val="20"/>
        </w:rPr>
        <w:t xml:space="preserve"> symbolem 2KP i terenu zieleni z miejscem rekreacji i placem zabaw na części terenu oznaczonego w </w:t>
      </w:r>
      <w:proofErr w:type="spellStart"/>
      <w:r>
        <w:rPr>
          <w:szCs w:val="20"/>
        </w:rPr>
        <w:t>mpzp</w:t>
      </w:r>
      <w:proofErr w:type="spellEnd"/>
      <w:r>
        <w:rPr>
          <w:szCs w:val="20"/>
        </w:rPr>
        <w:t xml:space="preserve"> symbolem 4ZP na działkach nr 177/11, 177/13, 193/18, 193/19, 269, 272, 276, 278 oraz częściach działek o nr 193/17, 268 i 277 w obrębie G-3 przy u</w:t>
      </w:r>
      <w:r>
        <w:rPr>
          <w:szCs w:val="20"/>
        </w:rPr>
        <w:t xml:space="preserve">l. Piotrkowskiej bez numeru, Wólczańskiej bez numeru i Pabianickiej bez numeru. </w:t>
      </w:r>
    </w:p>
    <w:p w14:paraId="51E5BD55" w14:textId="77777777" w:rsidR="003C399B" w:rsidRDefault="00A07187">
      <w:pPr>
        <w:keepLines/>
        <w:spacing w:before="120" w:after="120"/>
        <w:ind w:firstLine="340"/>
        <w:jc w:val="both"/>
        <w:rPr>
          <w:color w:val="1F497D"/>
          <w:szCs w:val="20"/>
        </w:rPr>
      </w:pPr>
      <w:r>
        <w:rPr>
          <w:szCs w:val="20"/>
          <w:shd w:val="clear" w:color="auto" w:fill="FFFFFF"/>
        </w:rPr>
        <w:t xml:space="preserve"> Wniosek został poprawnie uzupełniony przy pismach z dnia 12 sierpnia 2025 r.</w:t>
      </w:r>
    </w:p>
    <w:p w14:paraId="759D4C01" w14:textId="77777777" w:rsidR="003C399B" w:rsidRDefault="00A07187">
      <w:pPr>
        <w:ind w:firstLine="720"/>
        <w:jc w:val="both"/>
        <w:rPr>
          <w:szCs w:val="20"/>
        </w:rPr>
      </w:pPr>
      <w:r>
        <w:rPr>
          <w:szCs w:val="20"/>
          <w:shd w:val="clear" w:color="auto" w:fill="FFFFFF"/>
        </w:rPr>
        <w:t xml:space="preserve">Po weryfikacji wniosku stwierdzono, że spełnia wymogi dotyczące kompletności wniosku określone w </w:t>
      </w:r>
      <w:r>
        <w:rPr>
          <w:szCs w:val="20"/>
          <w:shd w:val="clear" w:color="auto" w:fill="FFFFFF"/>
        </w:rPr>
        <w:t>art. 7 ust. 7 specustawy.  We wniosku określono granice terenu objętego wnioskiem, przedstawiając je na kopii mapy zasadniczej. Określono planowaną minimalną i maksymalną powierzchnię użytkową mieszkań wynoszącą od 22 500 m</w:t>
      </w:r>
      <w:r>
        <w:rPr>
          <w:szCs w:val="20"/>
          <w:shd w:val="clear" w:color="auto" w:fill="FFFFFF"/>
          <w:vertAlign w:val="superscript"/>
        </w:rPr>
        <w:t>2</w:t>
      </w:r>
      <w:r>
        <w:rPr>
          <w:szCs w:val="20"/>
          <w:shd w:val="clear" w:color="auto" w:fill="FFFFFF"/>
          <w:lang w:val="pt-PT" w:eastAsia="pt-PT" w:bidi="pt-PT"/>
        </w:rPr>
        <w:t xml:space="preserve"> do </w:t>
      </w:r>
      <w:r>
        <w:rPr>
          <w:szCs w:val="20"/>
          <w:shd w:val="clear" w:color="auto" w:fill="FFFFFF"/>
        </w:rPr>
        <w:t>25 500 m</w:t>
      </w:r>
      <w:r>
        <w:rPr>
          <w:szCs w:val="20"/>
          <w:shd w:val="clear" w:color="auto" w:fill="FFFFFF"/>
          <w:vertAlign w:val="superscript"/>
        </w:rPr>
        <w:t>2</w:t>
      </w:r>
      <w:r>
        <w:rPr>
          <w:szCs w:val="20"/>
          <w:shd w:val="clear" w:color="auto" w:fill="FFFFFF"/>
        </w:rPr>
        <w:t xml:space="preserve"> oraz planowaną minimalną i maksymalną liczbę mieszkań wynoszącą od 290</w:t>
      </w:r>
      <w:r>
        <w:rPr>
          <w:szCs w:val="20"/>
          <w:shd w:val="clear" w:color="auto" w:fill="FFFFFF"/>
          <w:lang w:val="pt-PT" w:eastAsia="pt-PT" w:bidi="pt-PT"/>
        </w:rPr>
        <w:t xml:space="preserve"> do </w:t>
      </w:r>
      <w:r>
        <w:rPr>
          <w:szCs w:val="20"/>
          <w:shd w:val="clear" w:color="auto" w:fill="FFFFFF"/>
        </w:rPr>
        <w:t>400. Wniosek obejmuje analizę powiązania inwestycji mieszkaniowej i towarzyszącej z uzbrojeniem terenu, oraz ich charakterystykę. Wnioskodawca wskazał nieruchomości, według katastru</w:t>
      </w:r>
      <w:r>
        <w:rPr>
          <w:szCs w:val="20"/>
          <w:shd w:val="clear" w:color="auto" w:fill="FFFFFF"/>
        </w:rPr>
        <w:t xml:space="preserve"> nieruchomości oraz ksiąg wieczystych, na których mają być zlokalizowane obiekty objęte inwestycją mieszkaniową i inwestycja towarzyszącą. Wskazano również, w jakim zakresie planowane inwestycje nie uwzględniają ustaleń miejscowego planu zagospodarowania p</w:t>
      </w:r>
      <w:r>
        <w:rPr>
          <w:szCs w:val="20"/>
          <w:shd w:val="clear" w:color="auto" w:fill="FFFFFF"/>
        </w:rPr>
        <w:t xml:space="preserve">rzestrzennego i że nie są sprzeczne ze studium uwarunkowań i kierunków zagospodarowania przestrzennego miasta Łodzi. </w:t>
      </w:r>
      <w:r>
        <w:rPr>
          <w:szCs w:val="20"/>
          <w:shd w:val="clear" w:color="auto" w:fill="FFFFFF"/>
          <w:lang w:val="de-DE" w:eastAsia="de-DE" w:bidi="de-DE"/>
        </w:rPr>
        <w:t>W</w:t>
      </w:r>
      <w:proofErr w:type="spellStart"/>
      <w:r>
        <w:rPr>
          <w:szCs w:val="20"/>
          <w:shd w:val="clear" w:color="auto" w:fill="FFFFFF"/>
        </w:rPr>
        <w:t>ykazano</w:t>
      </w:r>
      <w:proofErr w:type="spellEnd"/>
      <w:r>
        <w:rPr>
          <w:szCs w:val="20"/>
          <w:shd w:val="clear" w:color="auto" w:fill="FFFFFF"/>
        </w:rPr>
        <w:t xml:space="preserve">, że inwestycja mieszkaniowa i inwestycja towarzysząca odpowiada standardom, o których mowa w rozdziale 3 specustawy oraz lokalnym </w:t>
      </w:r>
      <w:r>
        <w:rPr>
          <w:szCs w:val="20"/>
          <w:shd w:val="clear" w:color="auto" w:fill="FFFFFF"/>
        </w:rPr>
        <w:t>standardom urbanistycznym.</w:t>
      </w:r>
      <w:r>
        <w:rPr>
          <w:color w:val="7030A0"/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</w:rPr>
        <w:t>Do wniosku załączono koncepcję urbanistyczno-architektoniczną, sporządzoną przez osobę wpisaną na listę izby samorządu zawodowego architektów posiadającą uprawnienia budowlane do projektowania bez ograniczeń w specjalności archit</w:t>
      </w:r>
      <w:r>
        <w:rPr>
          <w:szCs w:val="20"/>
          <w:shd w:val="clear" w:color="auto" w:fill="FFFFFF"/>
        </w:rPr>
        <w:t>ektonicznej oraz inne wymagane oświadczenia i zaświadczenia.</w:t>
      </w:r>
    </w:p>
    <w:p w14:paraId="2E79B24F" w14:textId="77777777" w:rsidR="003C399B" w:rsidRDefault="00A07187">
      <w:pPr>
        <w:spacing w:before="120" w:after="120"/>
        <w:jc w:val="both"/>
        <w:rPr>
          <w:szCs w:val="20"/>
        </w:rPr>
      </w:pPr>
      <w:r>
        <w:rPr>
          <w:szCs w:val="20"/>
          <w:shd w:val="clear" w:color="auto" w:fill="FFFFFF"/>
        </w:rPr>
        <w:tab/>
        <w:t>W dniu 14 sierpnia 2025 r. wniosek został udostępniony na stronie podmiotowej Biuletynu Informacji Publicznej wraz z informacją o formie, miejscu i terminie składania uwag. Ponadto, w dniu 22 si</w:t>
      </w:r>
      <w:r>
        <w:rPr>
          <w:szCs w:val="20"/>
          <w:shd w:val="clear" w:color="auto" w:fill="FFFFFF"/>
        </w:rPr>
        <w:t>erpnia 2025 r. w lokalnej prasie „Łódź.pl” pojawiła się informacja o wpływie przedmiotowego wniosku wraz z informacją o formie, miejscu i terminie składania uwag. Po publikacji w Biuletynie do Biura Architekta Miasta nie trafiły żadne wnioski ani uwagi prz</w:t>
      </w:r>
      <w:r>
        <w:rPr>
          <w:szCs w:val="20"/>
          <w:shd w:val="clear" w:color="auto" w:fill="FFFFFF"/>
        </w:rPr>
        <w:t>eciwko planowanej inwestycji.</w:t>
      </w:r>
    </w:p>
    <w:p w14:paraId="0DBA4291" w14:textId="77777777" w:rsidR="003C399B" w:rsidRDefault="00A07187">
      <w:pPr>
        <w:keepLines/>
        <w:spacing w:before="120" w:after="120"/>
        <w:ind w:firstLine="720"/>
        <w:jc w:val="both"/>
        <w:rPr>
          <w:szCs w:val="20"/>
        </w:rPr>
      </w:pPr>
      <w:r>
        <w:rPr>
          <w:szCs w:val="20"/>
        </w:rPr>
        <w:lastRenderedPageBreak/>
        <w:t>Pismami z dnia 18 sierpnia 2025 r. powiadomiono organy opiniują</w:t>
      </w:r>
      <w:proofErr w:type="spellStart"/>
      <w:r>
        <w:rPr>
          <w:szCs w:val="20"/>
          <w:lang w:val="en-US" w:eastAsia="en-US" w:bidi="en-US"/>
        </w:rPr>
        <w:t>ce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i</w:t>
      </w:r>
      <w:proofErr w:type="spellEnd"/>
      <w:r>
        <w:rPr>
          <w:szCs w:val="20"/>
        </w:rPr>
        <w:t> uzgadniające, o których mowa w art. 7 ust. 12 i 14 specustawy, o możliwości przedstawienia stanowiska w sprawie w ciągu 21 dni od daty doręczenia wystąpienia.</w:t>
      </w:r>
    </w:p>
    <w:p w14:paraId="3D985B30" w14:textId="77777777" w:rsidR="003C399B" w:rsidRDefault="00A07187">
      <w:pPr>
        <w:spacing w:before="120" w:after="120"/>
        <w:ind w:firstLine="340"/>
        <w:jc w:val="both"/>
        <w:rPr>
          <w:szCs w:val="20"/>
        </w:rPr>
      </w:pPr>
      <w:r>
        <w:rPr>
          <w:szCs w:val="20"/>
        </w:rPr>
        <w:t>Następujące organy opiniujące udzieliły odpowiedzi:</w:t>
      </w:r>
    </w:p>
    <w:p w14:paraId="18EF2837" w14:textId="77777777" w:rsidR="003C399B" w:rsidRDefault="00A07187">
      <w:pPr>
        <w:spacing w:before="120" w:after="120"/>
        <w:ind w:firstLine="510"/>
        <w:jc w:val="both"/>
        <w:rPr>
          <w:szCs w:val="20"/>
        </w:rPr>
      </w:pPr>
      <w:r>
        <w:rPr>
          <w:rFonts w:ascii="Times New Roman Greek Greek" w:hAnsi="Times New Roman Greek Greek"/>
          <w:szCs w:val="20"/>
        </w:rPr>
        <w:t xml:space="preserve">- Szef Centralnego </w:t>
      </w:r>
      <w:r>
        <w:rPr>
          <w:rFonts w:ascii="Times New Roman Greek" w:hAnsi="Times New Roman Greek"/>
          <w:szCs w:val="20"/>
        </w:rPr>
        <w:t>Wojskowego Centrum Rekrutacji, Szef O</w:t>
      </w:r>
      <w:r>
        <w:rPr>
          <w:szCs w:val="20"/>
        </w:rPr>
        <w:t xml:space="preserve">środka Zamiejscowego w Łodzi - pismo z dnia 21 sierpnia 2025 r. znak: CWCR_OZ_Łódź-WWiZ.0732.498.2025 informujące o braku uwag i </w:t>
      </w:r>
      <w:r>
        <w:rPr>
          <w:szCs w:val="20"/>
        </w:rPr>
        <w:t>zastrzeżeń do przedmiotowej lokalizacji;</w:t>
      </w:r>
    </w:p>
    <w:p w14:paraId="29E68F69" w14:textId="77777777" w:rsidR="003C399B" w:rsidRDefault="00A07187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 xml:space="preserve">- Łódzki Państwowy Wojewódzki Inspektor Sanitarny w Łodzi – pozytywna opinia z dnia 9 września 2025 r., znak: </w:t>
      </w:r>
      <w:r>
        <w:rPr>
          <w:szCs w:val="20"/>
          <w:lang w:val="de-DE" w:eastAsia="de-DE" w:bidi="de-DE"/>
        </w:rPr>
        <w:t>NS</w:t>
      </w:r>
      <w:r>
        <w:rPr>
          <w:szCs w:val="20"/>
        </w:rPr>
        <w:t xml:space="preserve"> </w:t>
      </w:r>
      <w:r>
        <w:rPr>
          <w:szCs w:val="20"/>
          <w:lang w:val="de-DE" w:eastAsia="de-DE" w:bidi="de-DE"/>
        </w:rPr>
        <w:t>OZNS.9022.</w:t>
      </w:r>
      <w:r>
        <w:rPr>
          <w:szCs w:val="20"/>
        </w:rPr>
        <w:t>556</w:t>
      </w:r>
      <w:r>
        <w:rPr>
          <w:szCs w:val="20"/>
          <w:lang w:val="de-DE" w:eastAsia="de-DE" w:bidi="de-DE"/>
        </w:rPr>
        <w:t>.202</w:t>
      </w:r>
      <w:r>
        <w:rPr>
          <w:szCs w:val="20"/>
        </w:rPr>
        <w:t>5</w:t>
      </w:r>
      <w:r>
        <w:rPr>
          <w:szCs w:val="20"/>
          <w:lang w:val="de-DE" w:eastAsia="de-DE" w:bidi="de-DE"/>
        </w:rPr>
        <w:t>.</w:t>
      </w:r>
      <w:r>
        <w:rPr>
          <w:szCs w:val="20"/>
        </w:rPr>
        <w:t>AM;</w:t>
      </w:r>
    </w:p>
    <w:p w14:paraId="0D188949" w14:textId="77777777" w:rsidR="003C399B" w:rsidRDefault="00A07187">
      <w:pPr>
        <w:spacing w:before="120" w:after="120"/>
        <w:ind w:firstLine="510"/>
        <w:jc w:val="both"/>
        <w:rPr>
          <w:szCs w:val="20"/>
        </w:rPr>
      </w:pPr>
      <w:r>
        <w:rPr>
          <w:rFonts w:ascii="Times New Roman Greek Greek" w:hAnsi="Times New Roman Greek Greek"/>
          <w:szCs w:val="20"/>
        </w:rPr>
        <w:t>- Miejska Komisja Urbanistyczno-Architektoniczna wyda</w:t>
      </w:r>
      <w:r>
        <w:rPr>
          <w:rFonts w:ascii="Times New Roman Greek" w:hAnsi="Times New Roman Greek"/>
          <w:szCs w:val="20"/>
        </w:rPr>
        <w:t>ła pozytywną opinię wyra</w:t>
      </w:r>
      <w:r>
        <w:rPr>
          <w:szCs w:val="20"/>
        </w:rPr>
        <w:t>żo</w:t>
      </w:r>
      <w:r>
        <w:rPr>
          <w:szCs w:val="20"/>
        </w:rPr>
        <w:t>ną w uchwale nr 36/XV/2025 z dnia 2 września 2025 r.;</w:t>
      </w:r>
    </w:p>
    <w:p w14:paraId="01577CB5" w14:textId="77777777" w:rsidR="003C399B" w:rsidRDefault="00A07187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Wyżej wymienione opinie zostały wysłane do Wnioskodawcy.</w:t>
      </w:r>
    </w:p>
    <w:p w14:paraId="1457CE4D" w14:textId="77777777" w:rsidR="003C399B" w:rsidRDefault="00A07187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W ustawowym terminie nie wpłynęły ponadto opinie, właściwe według specustawy dla terenu inwestycji:</w:t>
      </w:r>
    </w:p>
    <w:p w14:paraId="07920957" w14:textId="77777777" w:rsidR="003C399B" w:rsidRDefault="00A07187">
      <w:pPr>
        <w:spacing w:before="120" w:after="120"/>
        <w:ind w:firstLine="510"/>
        <w:jc w:val="both"/>
        <w:rPr>
          <w:szCs w:val="20"/>
        </w:rPr>
      </w:pPr>
      <w:r>
        <w:rPr>
          <w:rFonts w:ascii="Times New Roman Greek Greek" w:hAnsi="Times New Roman Greek Greek"/>
          <w:szCs w:val="20"/>
        </w:rPr>
        <w:t>- Zarz</w:t>
      </w:r>
      <w:r>
        <w:rPr>
          <w:szCs w:val="20"/>
        </w:rPr>
        <w:t xml:space="preserve">ądu Województwa Łódzkiego, </w:t>
      </w:r>
    </w:p>
    <w:p w14:paraId="087CF16A" w14:textId="77777777" w:rsidR="003C399B" w:rsidRDefault="00A07187">
      <w:pPr>
        <w:spacing w:before="120" w:after="120"/>
        <w:ind w:firstLine="510"/>
        <w:jc w:val="both"/>
        <w:rPr>
          <w:szCs w:val="20"/>
        </w:rPr>
      </w:pPr>
      <w:r>
        <w:rPr>
          <w:rFonts w:ascii="Times New Roman Greek Greek" w:hAnsi="Times New Roman Greek Greek"/>
          <w:szCs w:val="20"/>
        </w:rPr>
        <w:t>- Prezydent</w:t>
      </w:r>
      <w:r>
        <w:rPr>
          <w:rFonts w:ascii="Times New Roman Greek Greek" w:hAnsi="Times New Roman Greek Greek"/>
          <w:szCs w:val="20"/>
        </w:rPr>
        <w:t xml:space="preserve">a Miasta </w:t>
      </w:r>
      <w:r>
        <w:rPr>
          <w:szCs w:val="20"/>
        </w:rPr>
        <w:t>Łodzi, w którego imieniu działa Zastępca Dyrektora Łódzkiego Ośrodka Geodezji:</w:t>
      </w:r>
    </w:p>
    <w:p w14:paraId="3C461E14" w14:textId="77777777" w:rsidR="003C399B" w:rsidRDefault="00A07187">
      <w:pPr>
        <w:spacing w:before="120" w:after="120"/>
        <w:ind w:firstLine="510"/>
        <w:jc w:val="both"/>
        <w:rPr>
          <w:szCs w:val="20"/>
        </w:rPr>
      </w:pPr>
      <w:r>
        <w:rPr>
          <w:rFonts w:ascii="Times New Roman Greek Greek" w:hAnsi="Times New Roman Greek Greek"/>
          <w:szCs w:val="20"/>
        </w:rPr>
        <w:t xml:space="preserve">- </w:t>
      </w:r>
      <w:r>
        <w:rPr>
          <w:rFonts w:ascii="Times New Roman Greek" w:hAnsi="Times New Roman Greek"/>
          <w:szCs w:val="20"/>
        </w:rPr>
        <w:t>Łódzkiego Wojewódzkiego Komendanta Wojew</w:t>
      </w:r>
      <w:r>
        <w:rPr>
          <w:szCs w:val="20"/>
        </w:rPr>
        <w:t xml:space="preserve">ódzkiej Państwowej Straży Pożarnej w Łodzi; </w:t>
      </w:r>
    </w:p>
    <w:p w14:paraId="68FCA7B0" w14:textId="77777777" w:rsidR="003C399B" w:rsidRDefault="00A07187">
      <w:pPr>
        <w:tabs>
          <w:tab w:val="left" w:pos="855"/>
        </w:tabs>
        <w:spacing w:before="120" w:after="120"/>
        <w:ind w:firstLine="510"/>
        <w:jc w:val="both"/>
        <w:rPr>
          <w:szCs w:val="20"/>
        </w:rPr>
      </w:pPr>
      <w:r>
        <w:rPr>
          <w:rFonts w:ascii="Times New Roman Greek Greek" w:hAnsi="Times New Roman Greek Greek"/>
          <w:szCs w:val="20"/>
        </w:rPr>
        <w:t>- Agencji Bezpiecze</w:t>
      </w:r>
      <w:r>
        <w:rPr>
          <w:szCs w:val="20"/>
        </w:rPr>
        <w:t>ństwa Wewnętrznego / Dyrektora Delegatury w Katowicach;</w:t>
      </w:r>
    </w:p>
    <w:p w14:paraId="3FB9F8EF" w14:textId="77777777" w:rsidR="003C399B" w:rsidRDefault="00A07187">
      <w:pPr>
        <w:tabs>
          <w:tab w:val="left" w:pos="855"/>
        </w:tabs>
        <w:spacing w:before="120" w:after="120"/>
        <w:ind w:firstLine="510"/>
        <w:jc w:val="both"/>
        <w:rPr>
          <w:szCs w:val="20"/>
        </w:rPr>
      </w:pPr>
      <w:r>
        <w:rPr>
          <w:rFonts w:ascii="Times New Roman Greek Greek" w:hAnsi="Times New Roman Greek Greek"/>
          <w:szCs w:val="20"/>
        </w:rPr>
        <w:t>- Kome</w:t>
      </w:r>
      <w:r>
        <w:rPr>
          <w:rFonts w:ascii="Times New Roman Greek Greek" w:hAnsi="Times New Roman Greek Greek"/>
          <w:szCs w:val="20"/>
        </w:rPr>
        <w:t>ndanta Wojew</w:t>
      </w:r>
      <w:r>
        <w:rPr>
          <w:szCs w:val="20"/>
        </w:rPr>
        <w:t>ódzkiego Policji w Łodzi;</w:t>
      </w:r>
    </w:p>
    <w:p w14:paraId="5C8FB52D" w14:textId="77777777" w:rsidR="003C399B" w:rsidRDefault="00A07187">
      <w:pPr>
        <w:tabs>
          <w:tab w:val="left" w:pos="855"/>
        </w:tabs>
        <w:spacing w:before="120" w:after="120"/>
        <w:ind w:firstLine="510"/>
        <w:jc w:val="both"/>
        <w:rPr>
          <w:szCs w:val="20"/>
        </w:rPr>
      </w:pPr>
      <w:r>
        <w:rPr>
          <w:rFonts w:ascii="Times New Roman Greek Greek" w:hAnsi="Times New Roman Greek Greek"/>
          <w:szCs w:val="20"/>
        </w:rPr>
        <w:t>- Komendanta Nadwi</w:t>
      </w:r>
      <w:r>
        <w:rPr>
          <w:szCs w:val="20"/>
        </w:rPr>
        <w:t>ślańskiego Oddział</w:t>
      </w:r>
      <w:r>
        <w:rPr>
          <w:szCs w:val="20"/>
          <w:lang w:val="de-DE" w:eastAsia="de-DE" w:bidi="de-DE"/>
        </w:rPr>
        <w:t xml:space="preserve">u </w:t>
      </w:r>
      <w:proofErr w:type="spellStart"/>
      <w:r>
        <w:rPr>
          <w:szCs w:val="20"/>
          <w:lang w:val="de-DE" w:eastAsia="de-DE" w:bidi="de-DE"/>
        </w:rPr>
        <w:t>Stra</w:t>
      </w:r>
      <w:r>
        <w:rPr>
          <w:szCs w:val="20"/>
        </w:rPr>
        <w:t>ży</w:t>
      </w:r>
      <w:proofErr w:type="spellEnd"/>
      <w:r>
        <w:rPr>
          <w:szCs w:val="20"/>
        </w:rPr>
        <w:t xml:space="preserve"> Granicznej im. Powstania Warszawskiego;</w:t>
      </w:r>
    </w:p>
    <w:p w14:paraId="10265CB6" w14:textId="77777777" w:rsidR="003C399B" w:rsidRDefault="00A07187">
      <w:pPr>
        <w:tabs>
          <w:tab w:val="left" w:pos="855"/>
        </w:tabs>
        <w:spacing w:before="120" w:after="120"/>
        <w:ind w:firstLine="510"/>
        <w:jc w:val="both"/>
        <w:rPr>
          <w:szCs w:val="20"/>
        </w:rPr>
      </w:pPr>
      <w:r>
        <w:rPr>
          <w:rFonts w:ascii="Times New Roman Greek Greek" w:hAnsi="Times New Roman Greek Greek"/>
          <w:szCs w:val="20"/>
        </w:rPr>
        <w:t>- Prezesa Urz</w:t>
      </w:r>
      <w:r>
        <w:rPr>
          <w:szCs w:val="20"/>
        </w:rPr>
        <w:t>ędu Lotnictwa Cywilnego,</w:t>
      </w:r>
    </w:p>
    <w:p w14:paraId="2ABF7208" w14:textId="77777777" w:rsidR="003C399B" w:rsidRDefault="00A07187">
      <w:pPr>
        <w:spacing w:before="120" w:after="120"/>
        <w:jc w:val="both"/>
        <w:rPr>
          <w:szCs w:val="20"/>
        </w:rPr>
      </w:pPr>
      <w:r>
        <w:rPr>
          <w:szCs w:val="20"/>
        </w:rPr>
        <w:t xml:space="preserve">co do których zgodnie z art. 7 ust. 13 specustawy nieprzekazanie opinii w terminie 21 dni od </w:t>
      </w:r>
      <w:r>
        <w:rPr>
          <w:szCs w:val="20"/>
        </w:rPr>
        <w:t>dnia otrzymania powiadomienia uznaje się za brak zastrzeżeń.</w:t>
      </w:r>
    </w:p>
    <w:p w14:paraId="0D86746D" w14:textId="77777777" w:rsidR="003C399B" w:rsidRDefault="00A07187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Organy uzgadniające:</w:t>
      </w:r>
    </w:p>
    <w:p w14:paraId="7A2D3310" w14:textId="77777777" w:rsidR="003C399B" w:rsidRDefault="00A07187">
      <w:pPr>
        <w:spacing w:before="120" w:after="120"/>
        <w:ind w:firstLine="570"/>
        <w:jc w:val="both"/>
        <w:rPr>
          <w:szCs w:val="20"/>
        </w:rPr>
      </w:pPr>
      <w:r>
        <w:rPr>
          <w:rFonts w:ascii="Times New Roman Greek" w:hAnsi="Times New Roman Greek"/>
          <w:szCs w:val="20"/>
        </w:rPr>
        <w:t>- Łódzki Wojewódzki Konserwator Zabytków postanowieniem z dnia 8 sierpnia 2025 r., znak WUOZ-PP.5151.2223.2025.KP uzgodnił przedmiotowy wniosek</w:t>
      </w:r>
      <w:r>
        <w:rPr>
          <w:szCs w:val="20"/>
        </w:rPr>
        <w:t xml:space="preserve"> w zakresie zgodności z zapisam</w:t>
      </w:r>
      <w:r>
        <w:rPr>
          <w:szCs w:val="20"/>
        </w:rPr>
        <w:t>i ustawy z dnia  23 lipca 2003 r. o ochronie zabytków i opiece nad zabytkami (Dz. U. z 2024 r. poz. 1292 i 1907).</w:t>
      </w:r>
    </w:p>
    <w:p w14:paraId="330CF93B" w14:textId="77777777" w:rsidR="003C399B" w:rsidRDefault="00A07187">
      <w:pPr>
        <w:spacing w:before="120" w:after="120"/>
        <w:ind w:firstLine="570"/>
        <w:jc w:val="both"/>
        <w:rPr>
          <w:szCs w:val="20"/>
        </w:rPr>
      </w:pPr>
      <w:r>
        <w:rPr>
          <w:rFonts w:ascii="Times New Roman Greek Greek" w:hAnsi="Times New Roman Greek Greek"/>
          <w:szCs w:val="20"/>
        </w:rPr>
        <w:t>- Zarz</w:t>
      </w:r>
      <w:r>
        <w:rPr>
          <w:szCs w:val="20"/>
        </w:rPr>
        <w:t xml:space="preserve">ąd </w:t>
      </w:r>
      <w:proofErr w:type="spellStart"/>
      <w:r>
        <w:rPr>
          <w:szCs w:val="20"/>
        </w:rPr>
        <w:t>Dró</w:t>
      </w:r>
      <w:proofErr w:type="spellEnd"/>
      <w:r>
        <w:rPr>
          <w:szCs w:val="20"/>
          <w:lang w:val="en-US" w:eastAsia="en-US" w:bidi="en-US"/>
        </w:rPr>
        <w:t xml:space="preserve">g </w:t>
      </w:r>
      <w:proofErr w:type="spellStart"/>
      <w:r>
        <w:rPr>
          <w:szCs w:val="20"/>
          <w:lang w:val="en-US" w:eastAsia="en-US" w:bidi="en-US"/>
        </w:rPr>
        <w:t>i</w:t>
      </w:r>
      <w:proofErr w:type="spellEnd"/>
      <w:r>
        <w:rPr>
          <w:szCs w:val="20"/>
        </w:rPr>
        <w:t> </w:t>
      </w:r>
      <w:r>
        <w:rPr>
          <w:szCs w:val="20"/>
          <w:lang w:val="pt-PT" w:eastAsia="pt-PT" w:bidi="pt-PT"/>
        </w:rPr>
        <w:t>Transportu</w:t>
      </w:r>
      <w:r>
        <w:rPr>
          <w:szCs w:val="20"/>
        </w:rPr>
        <w:t xml:space="preserve"> postanowieniem z dnia 8 sierpnia 2025 r. znak pisma ZDiT-UU.40121.2.259.2025  odmówił uzgodnienia przedmiotowego wn</w:t>
      </w:r>
      <w:r>
        <w:rPr>
          <w:szCs w:val="20"/>
        </w:rPr>
        <w:t>iosku w zakresie w jakim projektowana inwestycja przebiega przez nieruchomości wchodzące w skład pasa drogowego, przylega do nieruchomości wchodzących w skład pasa drogowego lub powoduje ograniczenia w sposobie zagospodarowania pasa drogowego i zaopiniował</w:t>
      </w:r>
      <w:r>
        <w:rPr>
          <w:szCs w:val="20"/>
        </w:rPr>
        <w:t xml:space="preserve"> negatywnie inwestycje towarzyszącą będącą przedmiotem wniosku tj. wskazany zakres budowy projektowanej drogi publicznej oznaczonej w Miejscowym Planie Zagospodarowania Przestrzennego symbolem 12KDD 1/2 (zwanego dalej </w:t>
      </w:r>
      <w:proofErr w:type="spellStart"/>
      <w:r>
        <w:rPr>
          <w:szCs w:val="20"/>
        </w:rPr>
        <w:t>mpzp</w:t>
      </w:r>
      <w:proofErr w:type="spellEnd"/>
      <w:r>
        <w:rPr>
          <w:szCs w:val="20"/>
        </w:rPr>
        <w:t>).</w:t>
      </w:r>
    </w:p>
    <w:p w14:paraId="13C20F33" w14:textId="77777777" w:rsidR="003C399B" w:rsidRDefault="00A07187">
      <w:pPr>
        <w:spacing w:before="120" w:after="120"/>
        <w:ind w:firstLine="570"/>
        <w:jc w:val="both"/>
        <w:rPr>
          <w:szCs w:val="20"/>
        </w:rPr>
      </w:pPr>
      <w:r>
        <w:rPr>
          <w:szCs w:val="20"/>
        </w:rPr>
        <w:t xml:space="preserve">Wydane w sprawie postanowienia </w:t>
      </w:r>
      <w:r>
        <w:rPr>
          <w:szCs w:val="20"/>
        </w:rPr>
        <w:t>zostały przekazane do wnioskodawcy.</w:t>
      </w:r>
    </w:p>
    <w:p w14:paraId="16CDC4F0" w14:textId="77777777" w:rsidR="003C399B" w:rsidRDefault="00A07187">
      <w:pPr>
        <w:spacing w:before="120" w:after="120"/>
        <w:ind w:firstLine="570"/>
        <w:jc w:val="both"/>
        <w:rPr>
          <w:szCs w:val="20"/>
        </w:rPr>
      </w:pPr>
      <w:r>
        <w:rPr>
          <w:szCs w:val="20"/>
        </w:rPr>
        <w:lastRenderedPageBreak/>
        <w:t xml:space="preserve">Do projektu uchwały, zgodnie z art. 7 ust. 17 specustawy dołączone zostały uzyskane opinie i uzgodnienia, a także prognoza oddziaływania na środowisko i opracowanie </w:t>
      </w:r>
      <w:proofErr w:type="spellStart"/>
      <w:r>
        <w:rPr>
          <w:szCs w:val="20"/>
        </w:rPr>
        <w:t>ekofizjogrficzne</w:t>
      </w:r>
      <w:proofErr w:type="spellEnd"/>
      <w:r>
        <w:rPr>
          <w:szCs w:val="20"/>
        </w:rPr>
        <w:t xml:space="preserve"> sporządzone dla potrzeb obowiązującego</w:t>
      </w:r>
      <w:r>
        <w:rPr>
          <w:szCs w:val="20"/>
        </w:rPr>
        <w:t xml:space="preserve"> miejscowego planu zagospodarowania przestrzennego. </w:t>
      </w:r>
    </w:p>
    <w:p w14:paraId="6F08E182" w14:textId="77777777" w:rsidR="003C399B" w:rsidRDefault="00A07187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 xml:space="preserve">Planowany sposób zagospodarowania terenu obejmuje budowę dwóch budynków mieszkalnych wielorodzinnych z częściami usługowymi i handlowymi oraz z garażami wielostanowiskowymi na kondygnacjach podziemnych, </w:t>
      </w:r>
      <w:r>
        <w:rPr>
          <w:szCs w:val="20"/>
        </w:rPr>
        <w:t xml:space="preserve">usytuowanych w pierzejach ulic Piotrkowskiej przy pl. Niepodległości i ulicy Wólczańskiej wraz z projektowaną drogą dojazdową oznaczoną symbolem 12KDD1/2  w </w:t>
      </w:r>
      <w:proofErr w:type="spellStart"/>
      <w:r>
        <w:rPr>
          <w:szCs w:val="20"/>
        </w:rPr>
        <w:t>mpzp</w:t>
      </w:r>
      <w:proofErr w:type="spellEnd"/>
      <w:r>
        <w:rPr>
          <w:szCs w:val="20"/>
        </w:rPr>
        <w:t xml:space="preserve"> stanowiącą kontynuację wewnętrznej ulicy Piotra Skargi zapewniającą obsługę komunikacyjną dla </w:t>
      </w:r>
      <w:r>
        <w:rPr>
          <w:szCs w:val="20"/>
        </w:rPr>
        <w:t>danej inwestycji mieszkaniowej. Planowane zagospodarowanie obejmuje także w ramach inwestycji towarzyszącej budowę placu i ciągu pieszego oznaczonych symbolem 2KP oraz terenu zieleni z miejscem rekreacji i placem zabaw na części terenu oznaczonego symbolem</w:t>
      </w:r>
      <w:r>
        <w:rPr>
          <w:szCs w:val="20"/>
        </w:rPr>
        <w:t xml:space="preserve"> 4ZP zgodnie z rysunkiem obowiązującego </w:t>
      </w:r>
      <w:proofErr w:type="spellStart"/>
      <w:r>
        <w:rPr>
          <w:szCs w:val="20"/>
        </w:rPr>
        <w:t>mpzp</w:t>
      </w:r>
      <w:proofErr w:type="spellEnd"/>
      <w:r>
        <w:rPr>
          <w:szCs w:val="20"/>
        </w:rPr>
        <w:t xml:space="preserve">  Zaprojektowano także nowe i zaplanowano do przebudowy następujące sieci: ciepłowniczą, energetyczną i kanalizacji kablowej, wodociągową, kanalizacji sanitarnej i deszczowej. Projektowana zabudowa mieszkaniowa u</w:t>
      </w:r>
      <w:r>
        <w:rPr>
          <w:szCs w:val="20"/>
        </w:rPr>
        <w:t>sytuowana będzie na terenie obecnie niezagospodarowanym o powierzchni około 19 780 m</w:t>
      </w:r>
      <w:r>
        <w:rPr>
          <w:szCs w:val="20"/>
          <w:vertAlign w:val="superscript"/>
        </w:rPr>
        <w:t>2</w:t>
      </w:r>
      <w:r>
        <w:rPr>
          <w:szCs w:val="20"/>
        </w:rPr>
        <w:t>. Wnioskowana powierzchnia zabudowy nie przekroczy 8 280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 (budynek nr 1 - 4 739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 i budynek nr 2 - 3 541 m</w:t>
      </w:r>
      <w:r>
        <w:rPr>
          <w:szCs w:val="20"/>
          <w:vertAlign w:val="superscript"/>
        </w:rPr>
        <w:t>2</w:t>
      </w:r>
      <w:r>
        <w:rPr>
          <w:szCs w:val="20"/>
        </w:rPr>
        <w:t>).</w:t>
      </w:r>
      <w:r>
        <w:rPr>
          <w:szCs w:val="20"/>
          <w:vertAlign w:val="superscript"/>
        </w:rPr>
        <w:t xml:space="preserve"> </w:t>
      </w:r>
      <w:r>
        <w:rPr>
          <w:szCs w:val="20"/>
        </w:rPr>
        <w:t>Zgodnie z koncepcją architektoniczną oba budynki będą miał</w:t>
      </w:r>
      <w:r>
        <w:rPr>
          <w:szCs w:val="20"/>
        </w:rPr>
        <w:t>y wysokość do 25 metrów i 7 kondygnacji naziemnych oraz do 3 kondygnacji podziemnych. Projekt przewiduje od 290 do 400 mieszkań o łącznej powierzchni użytkowej mieszkań od 22 500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 do 25 500 m</w:t>
      </w:r>
      <w:r>
        <w:rPr>
          <w:szCs w:val="20"/>
          <w:vertAlign w:val="superscript"/>
        </w:rPr>
        <w:t xml:space="preserve">2 </w:t>
      </w:r>
      <w:r>
        <w:rPr>
          <w:szCs w:val="20"/>
        </w:rPr>
        <w:t>a także powierzchnią przeznaczoną na działalność usługową i h</w:t>
      </w:r>
      <w:r>
        <w:rPr>
          <w:szCs w:val="20"/>
        </w:rPr>
        <w:t>andlową od 1 650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 do 3 000 m</w:t>
      </w:r>
      <w:r>
        <w:rPr>
          <w:szCs w:val="20"/>
          <w:vertAlign w:val="superscript"/>
        </w:rPr>
        <w:t>2</w:t>
      </w:r>
      <w:r>
        <w:rPr>
          <w:szCs w:val="20"/>
        </w:rPr>
        <w:t>. Projektowana powierzchnia  biologicznie czynna określona została na minimum 4 101 m</w:t>
      </w:r>
      <w:r>
        <w:rPr>
          <w:szCs w:val="20"/>
          <w:vertAlign w:val="superscript"/>
        </w:rPr>
        <w:t>2</w:t>
      </w:r>
      <w:r>
        <w:rPr>
          <w:szCs w:val="20"/>
        </w:rPr>
        <w:t>,</w:t>
      </w:r>
      <w:r>
        <w:rPr>
          <w:szCs w:val="20"/>
          <w:vertAlign w:val="superscript"/>
        </w:rPr>
        <w:t xml:space="preserve"> </w:t>
      </w:r>
      <w:r>
        <w:rPr>
          <w:szCs w:val="20"/>
        </w:rPr>
        <w:t xml:space="preserve">co stanowi wskaźnik minimum 21,5% powierzchni terenu.  </w:t>
      </w:r>
    </w:p>
    <w:p w14:paraId="42C02C84" w14:textId="77777777" w:rsidR="003C399B" w:rsidRDefault="00A07187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Wnioskodawca złożył oświadczenie, w którym mowa w art. 7 ust. 8 pkt 2 specustawy,</w:t>
      </w:r>
      <w:r>
        <w:rPr>
          <w:szCs w:val="20"/>
        </w:rPr>
        <w:t xml:space="preserve"> że nie zachodzi kolizja lokalizacji inwestycji mieszkaniowej z inwestycjami, o których mowa w art. 4 pkt 1-13 specustawy i które mają ustawowe pierwszeństwo przed inwestycjami mieszkaniowymi. </w:t>
      </w:r>
    </w:p>
    <w:p w14:paraId="61789A32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color w:val="000000"/>
          <w:szCs w:val="20"/>
        </w:rPr>
      </w:pPr>
      <w:r>
        <w:rPr>
          <w:szCs w:val="20"/>
        </w:rPr>
        <w:t xml:space="preserve">Dla terenu wnioskowanej inwestycji obowiązują ustalenia miejscowego planu zagospodarowania przestrzennego (zwanego dalej Planem lub </w:t>
      </w:r>
      <w:proofErr w:type="spellStart"/>
      <w:r>
        <w:rPr>
          <w:szCs w:val="20"/>
        </w:rPr>
        <w:t>mpzp</w:t>
      </w:r>
      <w:proofErr w:type="spellEnd"/>
      <w:r>
        <w:rPr>
          <w:szCs w:val="20"/>
        </w:rPr>
        <w:t xml:space="preserve">) </w:t>
      </w:r>
      <w:r>
        <w:rPr>
          <w:color w:val="000000"/>
          <w:szCs w:val="20"/>
          <w:shd w:val="clear" w:color="auto" w:fill="FFFFFF"/>
        </w:rPr>
        <w:t>objętego uchwałą Nr LXXXVIII/1823/14  Rady Miejskiej w Łodzi z dnia 4 czerwca 2014 r., w sprawie uchwalenia miejscoweg</w:t>
      </w:r>
      <w:r>
        <w:rPr>
          <w:color w:val="000000"/>
          <w:szCs w:val="20"/>
          <w:shd w:val="clear" w:color="auto" w:fill="FFFFFF"/>
        </w:rPr>
        <w:t xml:space="preserve">o planu zagospodarowania przestrzennego dla części obszaru miasta Łodzi położonej w rejonie ulic: Stanisława Przybyszewskiego, Kruczej, </w:t>
      </w:r>
      <w:proofErr w:type="spellStart"/>
      <w:r>
        <w:rPr>
          <w:color w:val="000000"/>
          <w:szCs w:val="20"/>
          <w:shd w:val="clear" w:color="auto" w:fill="FFFFFF"/>
        </w:rPr>
        <w:t>Zarzewskiej</w:t>
      </w:r>
      <w:proofErr w:type="spellEnd"/>
      <w:r>
        <w:rPr>
          <w:color w:val="000000"/>
          <w:szCs w:val="20"/>
          <w:shd w:val="clear" w:color="auto" w:fill="FFFFFF"/>
        </w:rPr>
        <w:t>, Łomżyńskiej, gen. Jarosława Dąbrowskiego, Rzgowskiej, Bednarskiej Wólczańskiej, Sieradzkiej i Piotrkowskiej</w:t>
      </w:r>
      <w:r>
        <w:rPr>
          <w:color w:val="000000"/>
          <w:szCs w:val="20"/>
          <w:shd w:val="clear" w:color="auto" w:fill="FFFFFF"/>
        </w:rPr>
        <w:t xml:space="preserve"> oraz Placu Reymonta (Dz. Urz. Woj. Łódzkiego poz. 2598).  Z porównania charakterystycznych parametrów projektowanej inwestycji z ustaleniami </w:t>
      </w:r>
      <w:proofErr w:type="spellStart"/>
      <w:r>
        <w:rPr>
          <w:color w:val="000000"/>
          <w:szCs w:val="20"/>
          <w:shd w:val="clear" w:color="auto" w:fill="FFFFFF"/>
        </w:rPr>
        <w:t>mpzp</w:t>
      </w:r>
      <w:proofErr w:type="spellEnd"/>
      <w:r>
        <w:rPr>
          <w:color w:val="000000"/>
          <w:szCs w:val="20"/>
          <w:shd w:val="clear" w:color="auto" w:fill="FFFFFF"/>
        </w:rPr>
        <w:t xml:space="preserve"> wynikają następujące zgodności oraz niezgodności inwestycji z wymogami Planu w zależności od typu terenu (6U,</w:t>
      </w:r>
      <w:r>
        <w:rPr>
          <w:color w:val="000000"/>
          <w:szCs w:val="20"/>
          <w:shd w:val="clear" w:color="auto" w:fill="FFFFFF"/>
        </w:rPr>
        <w:t xml:space="preserve"> 7U, 13MWU, 4ZP, 1KP, 2KP, 12KDD1/2), w zakresie przedstawionym poniżej:</w:t>
      </w:r>
    </w:p>
    <w:p w14:paraId="6AC04CA0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color w:val="F00000"/>
          <w:szCs w:val="20"/>
        </w:rPr>
      </w:pPr>
      <w:r>
        <w:rPr>
          <w:szCs w:val="20"/>
          <w:shd w:val="clear" w:color="auto" w:fill="FFFFFF"/>
        </w:rPr>
        <w:t>1) przeznaczenie terenu:</w:t>
      </w:r>
    </w:p>
    <w:p w14:paraId="6E487582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a) w Planie </w:t>
      </w:r>
    </w:p>
    <w:p w14:paraId="6CD0DED4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- dla terenów oznaczonych jako 6U i 7U - zabudowa usługowa, dla terenu 13MWU - zabudowa mieszkaniowa wielorodzinna i usługowa,</w:t>
      </w:r>
    </w:p>
    <w:p w14:paraId="24016CB8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- tereny 4ZP - tereny zieleni urządzonej, </w:t>
      </w:r>
    </w:p>
    <w:p w14:paraId="65B49281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  <w:shd w:val="clear" w:color="auto" w:fill="FFFFFF"/>
        </w:rPr>
        <w:lastRenderedPageBreak/>
        <w:t>- tereny 1KP, 2KP - tereny publicznych ciągów pieszych; dopuszcza: lokalizację infrastruktury technicznej, lokalizację zieleni;</w:t>
      </w:r>
    </w:p>
    <w:p w14:paraId="5B653986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  <w:shd w:val="clear" w:color="auto" w:fill="FFFFFF"/>
        </w:rPr>
        <w:t>- tereny 12KDD1/2 – tereny ulic dojazdowych</w:t>
      </w:r>
    </w:p>
    <w:p w14:paraId="555CC1A4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b) w koncepcji </w:t>
      </w:r>
    </w:p>
    <w:p w14:paraId="627D82FF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- dla terenów oznaczonych</w:t>
      </w:r>
      <w:r>
        <w:rPr>
          <w:szCs w:val="20"/>
          <w:shd w:val="clear" w:color="auto" w:fill="FFFFFF"/>
        </w:rPr>
        <w:t xml:space="preserve"> jako 6U, 7U i 13MWU - budynki mieszkalne wielorodzinne z usługami;</w:t>
      </w:r>
    </w:p>
    <w:p w14:paraId="0417695A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- tereny 1KP, 2KP - projektowany plac połączony ciągiem pieszym z ulicą Piotrkowską,</w:t>
      </w:r>
    </w:p>
    <w:p w14:paraId="113146B7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- 4ZP zaprojektowano zieleniec oraz przestrzeń rekreacyjną i plac zabaw;</w:t>
      </w:r>
    </w:p>
    <w:p w14:paraId="2A72839E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  <w:shd w:val="clear" w:color="auto" w:fill="FFFFFF"/>
        </w:rPr>
        <w:t>- tereny 12KDD1/2 – droga doja</w:t>
      </w:r>
      <w:r>
        <w:rPr>
          <w:szCs w:val="20"/>
          <w:shd w:val="clear" w:color="auto" w:fill="FFFFFF"/>
        </w:rPr>
        <w:t>zdowa obsługująca kwartały 6U i 7U;</w:t>
      </w:r>
    </w:p>
    <w:p w14:paraId="06301387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  <w:shd w:val="clear" w:color="auto" w:fill="FFFFFF"/>
        </w:rPr>
        <w:t>2) rodzaj zabudowy:</w:t>
      </w:r>
    </w:p>
    <w:p w14:paraId="7D69CE52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  <w:shd w:val="clear" w:color="auto" w:fill="FFFFFF"/>
        </w:rPr>
        <w:t xml:space="preserve">a) w Planie – 6U, 7U i 13MWU - zwarta zabudowa śródmiejska, </w:t>
      </w:r>
    </w:p>
    <w:p w14:paraId="5F1D2D67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  <w:shd w:val="clear" w:color="auto" w:fill="FFFFFF"/>
        </w:rPr>
        <w:t>b) w koncepcji – na terenie zaprojektowano budynek mieszkalny wielorodzinny z usługami;</w:t>
      </w:r>
    </w:p>
    <w:p w14:paraId="7D63ADF1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  <w:shd w:val="clear" w:color="auto" w:fill="FFFFFF"/>
        </w:rPr>
        <w:t>3) powierzchnia zabudowy:</w:t>
      </w:r>
    </w:p>
    <w:p w14:paraId="7414FB79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  <w:shd w:val="clear" w:color="auto" w:fill="FFFFFF"/>
        </w:rPr>
        <w:t xml:space="preserve">a) w Planie - do 80 % </w:t>
      </w:r>
    </w:p>
    <w:p w14:paraId="640033C9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  <w:shd w:val="clear" w:color="auto" w:fill="FFFFFF"/>
        </w:rPr>
        <w:t>b)</w:t>
      </w:r>
      <w:r>
        <w:rPr>
          <w:szCs w:val="20"/>
          <w:shd w:val="clear" w:color="auto" w:fill="FFFFFF"/>
        </w:rPr>
        <w:t xml:space="preserve"> w koncepcji – od 41,86  do 100%;</w:t>
      </w:r>
    </w:p>
    <w:p w14:paraId="76CF9656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  <w:shd w:val="clear" w:color="auto" w:fill="FFFFFF"/>
        </w:rPr>
        <w:t>4) wskaźnik intensywności zabudowy:</w:t>
      </w:r>
    </w:p>
    <w:p w14:paraId="14C745CD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  <w:shd w:val="clear" w:color="auto" w:fill="FFFFFF"/>
        </w:rPr>
        <w:t>a) w Planie – 6U i 7U nie większy niż  3,0; 13MWU nie większy niż 2,5;</w:t>
      </w:r>
    </w:p>
    <w:p w14:paraId="3BCD73F5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  <w:shd w:val="clear" w:color="auto" w:fill="FFFFFF"/>
        </w:rPr>
        <w:t>b) w koncepcji –6U do 4,46, 7U do 5,90, 13MWU do 5,5</w:t>
      </w:r>
    </w:p>
    <w:p w14:paraId="53E65778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  <w:shd w:val="clear" w:color="auto" w:fill="FFFFFF"/>
        </w:rPr>
        <w:t>5) powierzchnia biologicznie czynna:</w:t>
      </w:r>
    </w:p>
    <w:p w14:paraId="46B66BCA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  <w:shd w:val="clear" w:color="auto" w:fill="FFFFFF"/>
        </w:rPr>
        <w:t>a) w Planie –min. 10%,</w:t>
      </w:r>
    </w:p>
    <w:p w14:paraId="5F51EC03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  <w:shd w:val="clear" w:color="auto" w:fill="FFFFFF"/>
        </w:rPr>
        <w:t>b)</w:t>
      </w:r>
      <w:r>
        <w:rPr>
          <w:szCs w:val="20"/>
          <w:shd w:val="clear" w:color="auto" w:fill="FFFFFF"/>
        </w:rPr>
        <w:t xml:space="preserve"> w koncepcji: określona na 21,50% ;</w:t>
      </w:r>
    </w:p>
    <w:p w14:paraId="64D821CE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  <w:shd w:val="clear" w:color="auto" w:fill="FFFFFF"/>
        </w:rPr>
        <w:t>6) wysokość zabudowy:</w:t>
      </w:r>
    </w:p>
    <w:p w14:paraId="5295B932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  <w:shd w:val="clear" w:color="auto" w:fill="FFFFFF"/>
        </w:rPr>
        <w:t>a) w Planie –od 11m do 19,0 m;</w:t>
      </w:r>
    </w:p>
    <w:p w14:paraId="54EE9971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  <w:shd w:val="clear" w:color="auto" w:fill="FFFFFF"/>
        </w:rPr>
        <w:t>b) w koncepcji – 7 kondygnacji i  do 25 m;</w:t>
      </w:r>
    </w:p>
    <w:p w14:paraId="60815B91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7) kształt dachu: </w:t>
      </w:r>
    </w:p>
    <w:p w14:paraId="5DA2A982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a) w Planie – dachy płaskie lub dwuspadowe o symetrycznym układzie i równym kącie nachylenia do 20 stopni; </w:t>
      </w:r>
    </w:p>
    <w:p w14:paraId="444DC647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  <w:shd w:val="clear" w:color="auto" w:fill="FFFFFF"/>
        </w:rPr>
        <w:t xml:space="preserve">b) w koncepcji – dach płaski o nachyleniu maks. 5%; </w:t>
      </w:r>
    </w:p>
    <w:p w14:paraId="76BC7AC4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  <w:shd w:val="clear" w:color="auto" w:fill="FFFFFF"/>
        </w:rPr>
        <w:t>8) polityka parkingowa:</w:t>
      </w:r>
    </w:p>
    <w:p w14:paraId="37BE9D67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a) w Planie </w:t>
      </w:r>
    </w:p>
    <w:p w14:paraId="26A936FC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- dla budynków mieszkalnych wielorodzinnych – 1,2 stanowis</w:t>
      </w:r>
      <w:r>
        <w:rPr>
          <w:szCs w:val="20"/>
          <w:shd w:val="clear" w:color="auto" w:fill="FFFFFF"/>
        </w:rPr>
        <w:t xml:space="preserve">ka postojowego lub garażu na 1 lokal mieszkalny; </w:t>
      </w:r>
    </w:p>
    <w:p w14:paraId="44AF2EB9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- dla klientów obiektów usługowych: - handlowych, biurowych i administracyjnych – 1 stanowisko postojowe na 40 m2 ogólnodostępnej powierzchni użytkowej, lecz nie mniej niż 2 </w:t>
      </w:r>
      <w:r>
        <w:rPr>
          <w:szCs w:val="20"/>
          <w:shd w:val="clear" w:color="auto" w:fill="FFFFFF"/>
        </w:rPr>
        <w:lastRenderedPageBreak/>
        <w:t>stanowiska postojowe na obiekt l</w:t>
      </w:r>
      <w:r>
        <w:rPr>
          <w:szCs w:val="20"/>
          <w:shd w:val="clear" w:color="auto" w:fill="FFFFFF"/>
        </w:rPr>
        <w:t xml:space="preserve">ub lokal, - gastronomicznych – 1 stanowisko postojowe na 8 miejsc konsumpcyjnych, lecz nie mniej niż 2 stanowiska postojowe na obiekt lub lokal, </w:t>
      </w:r>
    </w:p>
    <w:p w14:paraId="0FA04C7F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- dla pracowników usług: 1 stanowisko postojowe na 3 zatrudnionych na zmianie, niezależnie od miejsc postojowy</w:t>
      </w:r>
      <w:r>
        <w:rPr>
          <w:szCs w:val="20"/>
          <w:shd w:val="clear" w:color="auto" w:fill="FFFFFF"/>
        </w:rPr>
        <w:t xml:space="preserve">ch przewidzianych dla klientów; </w:t>
      </w:r>
    </w:p>
    <w:p w14:paraId="13A35D16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  <w:shd w:val="clear" w:color="auto" w:fill="FFFFFF"/>
        </w:rPr>
        <w:t>b) w koncepcji – 1,5 miejsca postojowego na lokal mieszkalny, 1,5 miejsca parkingowego na każde 100 m</w:t>
      </w:r>
      <w:r>
        <w:rPr>
          <w:szCs w:val="20"/>
          <w:shd w:val="clear" w:color="auto" w:fill="FFFFFF"/>
          <w:vertAlign w:val="superscript"/>
        </w:rPr>
        <w:t>2</w:t>
      </w:r>
      <w:r>
        <w:rPr>
          <w:szCs w:val="20"/>
          <w:shd w:val="clear" w:color="auto" w:fill="FFFFFF"/>
        </w:rPr>
        <w:t xml:space="preserve"> powierzchni użytkowej przeznaczonej na działalność handlowa lub usługową.</w:t>
      </w:r>
    </w:p>
    <w:p w14:paraId="7D36CA43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ind w:firstLine="435"/>
        <w:jc w:val="both"/>
        <w:rPr>
          <w:color w:val="F00000"/>
          <w:szCs w:val="20"/>
        </w:rPr>
      </w:pPr>
      <w:r>
        <w:rPr>
          <w:szCs w:val="20"/>
        </w:rPr>
        <w:t xml:space="preserve">Zgodnie z art. 5 ust. 3 specustawy inwestycje </w:t>
      </w:r>
      <w:r>
        <w:rPr>
          <w:szCs w:val="20"/>
        </w:rPr>
        <w:t>mieszkaniowe lub inwestycje towarzyszące realizuje się niezależnie od istnienia lub ustaleń miejscowego planu zagospodarowania przestrzennego pod warunkiem, że nie są sprzeczne ze Studium uwarunkowań kierunków zagospodarowania przestrzennego miasta oraz uc</w:t>
      </w:r>
      <w:r>
        <w:rPr>
          <w:szCs w:val="20"/>
        </w:rPr>
        <w:t>hwałą o utworzeniu parku kulturowego. Z ustaleń Studium uwarunkowań i kierunków zagospodarowania przestrzennego miasta Łodzi, przyjętego uchwałą Nr LXIX/1753/18 Rady Miejskiej w Łodzi z dnia 28 marca 2018 r., zmienioną uchwałami Rady Miejskiej w Łodzi Nr </w:t>
      </w:r>
      <w:r>
        <w:rPr>
          <w:szCs w:val="20"/>
        </w:rPr>
        <w:t xml:space="preserve">VI/215/19 z dnia 6 marca 2019 r. i Nr LII/1605/21 z dnia 22 grudnia 2021 r., zwanego dalej Studium, wynika, że lokalizacja wnioskowanej inwestycji mieszkaniowej znajduje się w jednostce WZ2 - strefa </w:t>
      </w:r>
      <w:proofErr w:type="spellStart"/>
      <w:r>
        <w:rPr>
          <w:szCs w:val="20"/>
        </w:rPr>
        <w:t>ogólnomiejska</w:t>
      </w:r>
      <w:proofErr w:type="spellEnd"/>
      <w:r>
        <w:rPr>
          <w:szCs w:val="20"/>
        </w:rPr>
        <w:t>, tereny zabudowy wielofunkcyjnej z dopuszcz</w:t>
      </w:r>
      <w:r>
        <w:rPr>
          <w:szCs w:val="20"/>
        </w:rPr>
        <w:t>eniem zabudowy usługowej, mieszkaniowej wielorodzinnej i jednorodzinnej. Planowany sposób zagospodarowania inwestycji mieszkaniowej wpisuje się w ustalone dla terenu WZ2 kierunki zmian w ramach struktury przestrzennej podnosząc jakość życia i zamieszkania,</w:t>
      </w:r>
      <w:r>
        <w:rPr>
          <w:szCs w:val="20"/>
        </w:rPr>
        <w:t xml:space="preserve"> aktywizując obszary objęte inwestycją i kształtując nową atrakcyjną strukturę miejską w zakresie funkcji i wizerunku, kształtując czytelną, zwartą strukturę przestrzenną i dopełniając układy urbanistyczne uzupełniając pierzeje obu ulic, zachowując otwarci</w:t>
      </w:r>
      <w:r>
        <w:rPr>
          <w:szCs w:val="20"/>
        </w:rPr>
        <w:t>a i  zamknięcia urbanistyczne, kształtując narożniki zabudowy. Planowana zabudowa wprowadza możliwość mieszanego sposobu użytkowania w ramach wspólnych zespołów zabudowy i zapewnia dostęp komunikacyjny do transportu zbiorowego oraz wprowadza nowe przestrze</w:t>
      </w:r>
      <w:r>
        <w:rPr>
          <w:szCs w:val="20"/>
        </w:rPr>
        <w:t xml:space="preserve">nie publiczne włączając je do systemu </w:t>
      </w:r>
      <w:proofErr w:type="spellStart"/>
      <w:r>
        <w:rPr>
          <w:szCs w:val="20"/>
        </w:rPr>
        <w:t>ogólnomiejskiego</w:t>
      </w:r>
      <w:proofErr w:type="spellEnd"/>
      <w:r>
        <w:rPr>
          <w:szCs w:val="20"/>
        </w:rPr>
        <w:t>. Lokalizacja inwestycji jest również zgodna z wymogiem dotyczącym kształtowania zieleni i zapewnienia minimalnej dla terenów zabudowy mieszkaniowej odległości w linii prostej 50 m od parku im. Legionów</w:t>
      </w:r>
      <w:r>
        <w:rPr>
          <w:szCs w:val="20"/>
        </w:rPr>
        <w:t xml:space="preserve"> o powierzchni nie mniejszej niż 5,4 ha. Zgodnie z planowanym sposobem zagospodarowania terenu inwestycji spełniony zostanie wskaźnik powierzchni biologicznie czynnej tj. minimum 10%. W Studium wskazano maksymalną intensywność zabudowy 2,0, liczoną dla cał</w:t>
      </w:r>
      <w:r>
        <w:rPr>
          <w:szCs w:val="20"/>
        </w:rPr>
        <w:t>ego terenu WZ2. Inwestor wskazuje we wniosku, że planowana intensywność zabudowy wyniesie 0,88 dla terenu inwestycji.</w:t>
      </w:r>
      <w:r>
        <w:rPr>
          <w:szCs w:val="20"/>
        </w:rPr>
        <w:tab/>
      </w:r>
    </w:p>
    <w:p w14:paraId="39FA722A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szCs w:val="20"/>
        </w:rPr>
      </w:pPr>
      <w:r>
        <w:rPr>
          <w:szCs w:val="20"/>
        </w:rPr>
        <w:t xml:space="preserve">W Studium określono maksymalną wysokość zabudowy w nawiązaniu do zabudowy historycznej nie wyżej niż 21 m, natomiast w pierzejach placów </w:t>
      </w:r>
      <w:r>
        <w:rPr>
          <w:szCs w:val="20"/>
        </w:rPr>
        <w:t>i ulic i w narożnikach zabudowy przy skrzyżowaniu ulic nie wyżej niż 25 m, i tyle przewiduje koncepcja architektoniczna.</w:t>
      </w:r>
      <w:r>
        <w:rPr>
          <w:color w:val="F00000"/>
          <w:szCs w:val="20"/>
        </w:rPr>
        <w:t xml:space="preserve"> </w:t>
      </w:r>
      <w:r>
        <w:rPr>
          <w:szCs w:val="20"/>
        </w:rPr>
        <w:t>Wniosek także spełnia wymagania Studium w założeniach polityki parkingowej zakładającej zapotrzebowanie na miejsca parkingowe dla nowej</w:t>
      </w:r>
      <w:r>
        <w:rPr>
          <w:szCs w:val="20"/>
        </w:rPr>
        <w:t xml:space="preserve"> zabudowy wynoszące 1 miejsce parkingowe na 1 mieszkanie oraz 15 miejsc na 1000m</w:t>
      </w:r>
      <w:r>
        <w:rPr>
          <w:szCs w:val="20"/>
          <w:vertAlign w:val="superscript"/>
        </w:rPr>
        <w:t xml:space="preserve">2 </w:t>
      </w:r>
      <w:r>
        <w:rPr>
          <w:szCs w:val="20"/>
        </w:rPr>
        <w:t xml:space="preserve"> powierzchni użytkowej usług. Zarówno przeznaczenie projektowanego budynku, wysokość budynku, intensywność zabudowy, jak i zagospodarowanie terenu inwestycji, nie są sprzeczn</w:t>
      </w:r>
      <w:r>
        <w:rPr>
          <w:szCs w:val="20"/>
        </w:rPr>
        <w:t>e ze Studium, a inwestycja została zlokalizowana poza obszarem parku kulturowego.</w:t>
      </w:r>
      <w:r>
        <w:rPr>
          <w:color w:val="F00000"/>
          <w:szCs w:val="20"/>
        </w:rPr>
        <w:t xml:space="preserve"> </w:t>
      </w:r>
    </w:p>
    <w:p w14:paraId="57FA789E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Wniosek inwestorów spełnia standardy lokalizacji i realizacji inwestycji mieszkaniowych określonych w rozdziale 3 specustawy w następujący sposób:</w:t>
      </w:r>
    </w:p>
    <w:p w14:paraId="3EF22A8D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 xml:space="preserve">1) zgodnie z art. 17 </w:t>
      </w:r>
      <w:r>
        <w:rPr>
          <w:szCs w:val="20"/>
        </w:rPr>
        <w:t>ust 1 specustawy:</w:t>
      </w:r>
    </w:p>
    <w:p w14:paraId="6B57454D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lastRenderedPageBreak/>
        <w:t xml:space="preserve">a) inwestycja posiada dostęp do dróg publicznych – ul. Wólczańskiej, ul. Piotrkowskiej i ul. Ks. Piotra Skargi, i będzie posiadać dodatkowy dostęp do nowej drogi publicznej – projektowanej drogi 12KDD 1/2. Istniejące i projektowana drogi </w:t>
      </w:r>
      <w:r>
        <w:rPr>
          <w:szCs w:val="20"/>
        </w:rPr>
        <w:t>dojazdowe na terenie inwestycji, będą pełnić również funkcje dróg pożarowych o szerokości większej bądź równej 6,0 m.</w:t>
      </w:r>
    </w:p>
    <w:p w14:paraId="0E0A9243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b) inwestycja ma zapewniony dostęp do sieci wodociągowej i kanalizacyjnej - zgodnie z pismami z Zakładu Wodociągów i Kanalizacji Sp. z o.o</w:t>
      </w:r>
      <w:r>
        <w:rPr>
          <w:szCs w:val="20"/>
        </w:rPr>
        <w:t>. znak: nr IT.424.1178.2025.MP3, z dnia 13.05.2025. r., nr IT.423.225.2025.AK6, z dnia 26.06.2025. r., nr IT.424.1755.2025.MP3, z dnia 10. 07. 2025. r.</w:t>
      </w:r>
    </w:p>
    <w:p w14:paraId="4699CE69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 xml:space="preserve">c) inwestycja ma zapewniony dostęp do sieci </w:t>
      </w:r>
      <w:proofErr w:type="spellStart"/>
      <w:r>
        <w:rPr>
          <w:szCs w:val="20"/>
        </w:rPr>
        <w:t>elektoenergetycznej</w:t>
      </w:r>
      <w:proofErr w:type="spellEnd"/>
      <w:r>
        <w:rPr>
          <w:szCs w:val="20"/>
        </w:rPr>
        <w:t xml:space="preserve"> – zgodnie z oświadczeniem o zapewnieniu </w:t>
      </w:r>
      <w:r>
        <w:rPr>
          <w:szCs w:val="20"/>
        </w:rPr>
        <w:t>dostaw energii elektrycznej nr 25-D7/WZD/00257/ PGED0430755KW25, z dnia 15.04.2025. r wystawionym przez PGE Dystrybucja S. A w Łodzi;</w:t>
      </w:r>
    </w:p>
    <w:p w14:paraId="15906338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 w:val="23"/>
          <w:szCs w:val="20"/>
        </w:rPr>
      </w:pPr>
      <w:r>
        <w:rPr>
          <w:szCs w:val="20"/>
        </w:rPr>
        <w:t xml:space="preserve">2) </w:t>
      </w:r>
      <w:r>
        <w:rPr>
          <w:sz w:val="23"/>
          <w:szCs w:val="20"/>
        </w:rPr>
        <w:t>zgodnie z art. 17 ust. 2 w związku z art 19 specustawy i uchwałą Nr LXXVI/2076/18 Rady Miejskiej w Łodzi z dnia 10 paźd</w:t>
      </w:r>
      <w:r>
        <w:rPr>
          <w:sz w:val="23"/>
          <w:szCs w:val="20"/>
        </w:rPr>
        <w:t>ziernika 2018 r. w sprawie lokalnych standardów urbanistycznych dla Miasta Łodzi (Dz. Urz. Woj. Łódzkiego poz. 5644), zmienioną uchwałami Rady Miejskiej w Łodzi: Nr III/59/18 z dnia 27 grudnia 2018 r. (Dz. Urz. Woj. Łódzkiego z 2019 r. poz. 348), Nr XXXIII</w:t>
      </w:r>
      <w:r>
        <w:rPr>
          <w:sz w:val="23"/>
          <w:szCs w:val="20"/>
        </w:rPr>
        <w:t xml:space="preserve">/1093/20 z dnia 2 grudnia 2020 r. (Dz. Urz. Woj. Łódzkiego poz. 7200), Nr LX/1810/22 z dnia 1 czerwca 2022 r. (Dz. Urz. Woj. Łódzkiego poz. 3675),  Nr LXXIII/2191/23 z dnia 15 marca 2023 r. (Dz. Urz. Woj. Łódzkiego poz. 4066) i Nr LXXXVI/2608/24 z dnia 17 </w:t>
      </w:r>
      <w:r>
        <w:rPr>
          <w:sz w:val="23"/>
          <w:szCs w:val="20"/>
        </w:rPr>
        <w:t xml:space="preserve">stycznia 2024 r. (Dz. Urz. Woj. Łódzkiego poz. 1102), zwanych lokalnymi standardami urbanistycznymi: </w:t>
      </w:r>
    </w:p>
    <w:p w14:paraId="5F3B2359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 xml:space="preserve">a)  inwestycję mieszkaniową lokalizuje się w odległości dojścia nie większej niż 500 m od istniejącego przystanku publicznego transportu  </w:t>
      </w:r>
      <w:r>
        <w:rPr>
          <w:szCs w:val="20"/>
        </w:rPr>
        <w:t>zbiorowego:</w:t>
      </w:r>
    </w:p>
    <w:p w14:paraId="7AC7FC86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 xml:space="preserve">–  dla budynku nr 1 (przy ul. Piotrkowskiej 319) w rejonie Placu Niepodległości – dojście ok 80 m; </w:t>
      </w:r>
    </w:p>
    <w:p w14:paraId="652F8FCC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–  dla budynku nr 2 (przy ul. Wólczańskiej 256) w rejonie ulicy Wólczańskiej – dojście ok 20 m</w:t>
      </w:r>
    </w:p>
    <w:p w14:paraId="6CAC6D55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b)  inwestycję mieszkaniową lokalizuje się w odle</w:t>
      </w:r>
      <w:r>
        <w:rPr>
          <w:szCs w:val="20"/>
        </w:rPr>
        <w:t>głości nie większej niż 1000 m od szkoły podstawowej, która jest w stanie przyjąć nowych uczniów w liczbie dzieci stanowiącej nie mniej niż 7% planowanych mieszkańców inwestycji mieszkaniowej -szacowana liczba uczniów około 60 może zostać przyjęta do nastę</w:t>
      </w:r>
      <w:r>
        <w:rPr>
          <w:szCs w:val="20"/>
        </w:rPr>
        <w:t>pujących placówek:</w:t>
      </w:r>
    </w:p>
    <w:p w14:paraId="2DEB491F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 xml:space="preserve">- Szkoła Podstawowa nr 10, im. Władysława Broniewskiego, w Łodzi, przy ul. Przybyszewskiego 15/21 (dojście ok. 592,00 m) oraz </w:t>
      </w:r>
    </w:p>
    <w:p w14:paraId="3660EBD3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- Szkoła Podstawowa nr 113, im. Adolfa Dygasińskiego, w Łodzi, przy ul. Unickiej 6 (dojście ok. 888,00 m),</w:t>
      </w:r>
    </w:p>
    <w:p w14:paraId="3F43D505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 xml:space="preserve">3) </w:t>
      </w:r>
      <w:r>
        <w:rPr>
          <w:szCs w:val="20"/>
        </w:rPr>
        <w:t>zgodnie z art. 17 ust. 3 specustawy  spełnienie wymogu określonego w ustawie art 17 ust. 2 pkt 2 potwierdził Prezydent Miasta Łodzi zaświadczeniem nr DEP-ED-I.0124.14.2025 z 02.06.2025 r. ;</w:t>
      </w:r>
    </w:p>
    <w:p w14:paraId="284FF2B7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color w:val="000000"/>
          <w:szCs w:val="20"/>
        </w:rPr>
      </w:pPr>
      <w:r>
        <w:rPr>
          <w:szCs w:val="20"/>
        </w:rPr>
        <w:t>4) zgodnie z art. 17 ust. 4 w związku z art. 19 specustawy i lokal</w:t>
      </w:r>
      <w:r>
        <w:rPr>
          <w:szCs w:val="20"/>
        </w:rPr>
        <w:t>nymi standardami urbanistycznymi inwestycja zlokalizowana jest w odległości ok. 50 m  i 431 m od Park im. Legionów o powierzchni 5,4 ha, czyli mniejszej niż 1000 m wskazanych  w uchwale i o powierzchni większej niż stanowi iloczyn planowanej liczby mieszka</w:t>
      </w:r>
      <w:r>
        <w:rPr>
          <w:szCs w:val="20"/>
        </w:rPr>
        <w:t xml:space="preserve">ńców – </w:t>
      </w:r>
      <w:r>
        <w:rPr>
          <w:color w:val="000000"/>
          <w:szCs w:val="20"/>
        </w:rPr>
        <w:t>850 oraz wskaźnika wynoszącego 4 m</w:t>
      </w:r>
      <w:r>
        <w:rPr>
          <w:color w:val="000000"/>
          <w:szCs w:val="20"/>
          <w:vertAlign w:val="superscript"/>
        </w:rPr>
        <w:t>2</w:t>
      </w:r>
      <w:r>
        <w:rPr>
          <w:color w:val="000000"/>
          <w:szCs w:val="20"/>
        </w:rPr>
        <w:t xml:space="preserve"> =3400 m</w:t>
      </w:r>
      <w:r>
        <w:rPr>
          <w:color w:val="000000"/>
          <w:szCs w:val="20"/>
          <w:vertAlign w:val="superscript"/>
        </w:rPr>
        <w:t>2</w:t>
      </w:r>
      <w:r>
        <w:rPr>
          <w:color w:val="000000"/>
          <w:szCs w:val="20"/>
        </w:rPr>
        <w:t xml:space="preserve"> ;</w:t>
      </w:r>
    </w:p>
    <w:p w14:paraId="1E1F1E6A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lastRenderedPageBreak/>
        <w:t xml:space="preserve">5) zgodnie z art. 17 ust. 4a w związku z art.17 </w:t>
      </w:r>
      <w:proofErr w:type="spellStart"/>
      <w:r>
        <w:rPr>
          <w:szCs w:val="20"/>
        </w:rPr>
        <w:t>us</w:t>
      </w:r>
      <w:proofErr w:type="spellEnd"/>
      <w:r>
        <w:rPr>
          <w:szCs w:val="20"/>
        </w:rPr>
        <w:t xml:space="preserve"> 4b pkt 2 specustawy - zapewnienie minimalnego udziału ogólnodostępnego, nieogrodzonego, urządzonego terenu wypoczynku oraz rekreacji lub sportu w ramac</w:t>
      </w:r>
      <w:r>
        <w:rPr>
          <w:szCs w:val="20"/>
        </w:rPr>
        <w:t>h powierzchni biologicznie czynnej – nie dotyczy; teren inwestycji położony jest w obszarze zabudowy śródmiejskiej;</w:t>
      </w:r>
    </w:p>
    <w:p w14:paraId="2ADE8A5F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6) zgodnie z art.17 ust 4d pkt 1 specustawy minimalny udział powierzchni biologicznie czynnej w obszarze zabudowy śródmiejskiej wyniesie nie</w:t>
      </w:r>
      <w:r>
        <w:rPr>
          <w:szCs w:val="20"/>
        </w:rPr>
        <w:t xml:space="preserve"> mniej niż 12,5% powierzchni terenu inwestycji (wg wniosku i projektu uchwały minimum 21,5%);</w:t>
      </w:r>
    </w:p>
    <w:p w14:paraId="366F2B64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7) zgodnie z art.17 ust 4d pkt 2 specustawy minimalna liczba miejsc postojowych będzie równa co najmniej liczbie mieszkań  przewidzianych do realizacji w ramach i</w:t>
      </w:r>
      <w:r>
        <w:rPr>
          <w:szCs w:val="20"/>
        </w:rPr>
        <w:t xml:space="preserve">nwestycji mieszkaniowej; </w:t>
      </w:r>
    </w:p>
    <w:p w14:paraId="61E05CBD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8) zgodnie z art. 17 ust. 6 w związku z art. 19 specustawy i lokalnymi standardami urbanistycznymi projektowany budynek będzie miał nie więcej niż VII kondygnacji naziemnych;</w:t>
      </w:r>
    </w:p>
    <w:p w14:paraId="7752AE73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9) zgodnie z art. 19 ust. 3 specustawy i lokalnymi stan</w:t>
      </w:r>
      <w:r>
        <w:rPr>
          <w:szCs w:val="20"/>
        </w:rPr>
        <w:t>dardami urbanistycznymi:</w:t>
      </w:r>
    </w:p>
    <w:p w14:paraId="39FB7248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 xml:space="preserve">a) inwestycja ma zapewniony dostęp do sieci ciepłowniczej zgodnie z informacją o technicznej możliwości podłączenia do Ciepła Systemowego planowanej inwestycji nr VECP/HRSR/MKO/2025, z dnia 05. 05. 2025. r. wydana przez </w:t>
      </w:r>
      <w:proofErr w:type="spellStart"/>
      <w:r>
        <w:rPr>
          <w:szCs w:val="20"/>
        </w:rPr>
        <w:t>Veolia</w:t>
      </w:r>
      <w:proofErr w:type="spellEnd"/>
      <w:r>
        <w:rPr>
          <w:szCs w:val="20"/>
        </w:rPr>
        <w:t xml:space="preserve"> Ener</w:t>
      </w:r>
      <w:r>
        <w:rPr>
          <w:szCs w:val="20"/>
        </w:rPr>
        <w:t>gia Łódź S.A.,</w:t>
      </w:r>
    </w:p>
    <w:p w14:paraId="7E5BFB69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b) zapewniono niezbędna minimalną liczbę miejsc parkingowych dla obsługi inwestycji mieszkaniowej, równą minimalnemu wskaźnikowi 1,5 miejsca parkingowego na lokal mieszkalny określony dla Obszaru Współczesnego Rozwoju Strefy Wielkomiejskiej;</w:t>
      </w:r>
    </w:p>
    <w:p w14:paraId="29C8E162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c) zapewniono niezbędną minimalną liczbę miejsc parkingowych dla obsługi handlu i usług w ramach inwestycji mieszkaniowej nie mniejszą niż minimalny wskaźnik  1,5 miejsca parkingowego na 100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  powierzchni użytkowej przeznaczonej na działalność handlową </w:t>
      </w:r>
      <w:r>
        <w:rPr>
          <w:szCs w:val="20"/>
        </w:rPr>
        <w:t>i usługową, określony dla Obszaru Współczesnego Rozwoju Strefy Wielkomiejskiej.</w:t>
      </w:r>
    </w:p>
    <w:p w14:paraId="1A7B385B" w14:textId="77777777" w:rsidR="003C399B" w:rsidRDefault="00A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Łącznie przewidziano do 500 do 645 miejsc parkingowych.</w:t>
      </w:r>
    </w:p>
    <w:p w14:paraId="042DC70A" w14:textId="77777777" w:rsidR="003C399B" w:rsidRDefault="00A07187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Projektowana inwestycja mieszkaniowa i inwestycje towarzyszące nie zostały zlokalizowane na terenach podlegających ochro</w:t>
      </w:r>
      <w:r>
        <w:rPr>
          <w:szCs w:val="20"/>
        </w:rPr>
        <w:t xml:space="preserve">nie przed lokalizowaniem lub zabudową na podstawie odrębnych przepisów, a także w granicach otulin form ochrony przyrody, rodzinnych ogrodów działkowych czy obszaru szczególnego zagrożenia powodzią, zgodnie z art. 5 ust. 1 i 2 specustawy. </w:t>
      </w:r>
    </w:p>
    <w:p w14:paraId="6B398526" w14:textId="77777777" w:rsidR="003C399B" w:rsidRDefault="00A07187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Przy podejmowan</w:t>
      </w:r>
      <w:r>
        <w:rPr>
          <w:szCs w:val="20"/>
        </w:rPr>
        <w:t xml:space="preserve">iu niniejszej uchwały Rada Miejska w Łodzi brała pod uwagę stan zaspokojenia potrzeb mieszkaniowych na terenie gminy oraz potrzeby i możliwości rozwoju gminy wynikające z ustaleń Studium uwarunkowań i kierunków zagospodarowania przestrzennego miasta Łodzi </w:t>
      </w:r>
      <w:r>
        <w:rPr>
          <w:szCs w:val="20"/>
        </w:rPr>
        <w:t xml:space="preserve">i sporządzonego na jego podstawie obowiązującego miejscowego planu zagospodarowania przestrzennego. </w:t>
      </w:r>
    </w:p>
    <w:p w14:paraId="18B5FDB1" w14:textId="77777777" w:rsidR="003C399B" w:rsidRDefault="00A07187">
      <w:pPr>
        <w:spacing w:before="120" w:after="120"/>
        <w:ind w:firstLine="570"/>
        <w:jc w:val="both"/>
        <w:rPr>
          <w:szCs w:val="20"/>
        </w:rPr>
      </w:pPr>
      <w:r>
        <w:rPr>
          <w:color w:val="000000"/>
          <w:szCs w:val="20"/>
          <w:shd w:val="clear" w:color="auto" w:fill="FFFFFF"/>
        </w:rPr>
        <w:t xml:space="preserve">W związku z </w:t>
      </w:r>
      <w:r>
        <w:rPr>
          <w:szCs w:val="20"/>
        </w:rPr>
        <w:t>odmową uzgodnienia przez Zarządu Dróg i Transportu przedmiotowego wniosku w zakresie w jakim projektowana inwestycja przebiega przez nieruchomo</w:t>
      </w:r>
      <w:r>
        <w:rPr>
          <w:szCs w:val="20"/>
        </w:rPr>
        <w:t>ści wchodzące w skład pasa drogowego, przylega do nieruchomości wchodzących w skład pasa drogowego lub powoduje ograniczenia w sposobie zagospodarowania pasa drogowego  i jego negatywną  opinią dla inwestycji towarzyszącą będącą przedmiotem wniosku tj. wsk</w:t>
      </w:r>
      <w:r>
        <w:rPr>
          <w:szCs w:val="20"/>
        </w:rPr>
        <w:t>azany zakres budowy projektowanej drogi publicznej oznaczonej w Miejscowym Planie Zagospodarowania Przestrzennego symbolem 12KDD 1/2 Rada Miejska podjęła decyzję o odmowie ustalenia lokalizacji inwestycji mieszkaniowej i inwestycji towarzyszącej objętej ni</w:t>
      </w:r>
      <w:r>
        <w:rPr>
          <w:szCs w:val="20"/>
        </w:rPr>
        <w:t xml:space="preserve">niejszym wnioskiem. </w:t>
      </w:r>
    </w:p>
    <w:p w14:paraId="18D21E95" w14:textId="77777777" w:rsidR="003C399B" w:rsidRDefault="003C399B">
      <w:pPr>
        <w:jc w:val="left"/>
        <w:rPr>
          <w:szCs w:val="20"/>
        </w:rPr>
      </w:pPr>
    </w:p>
    <w:sectPr w:rsidR="003C399B"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3A879" w14:textId="77777777" w:rsidR="00000000" w:rsidRDefault="00A07187">
      <w:r>
        <w:separator/>
      </w:r>
    </w:p>
  </w:endnote>
  <w:endnote w:type="continuationSeparator" w:id="0">
    <w:p w14:paraId="12FA9D1D" w14:textId="77777777" w:rsidR="00000000" w:rsidRDefault="00A0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Greek Greek">
    <w:altName w:val="Times New Roman"/>
    <w:panose1 w:val="00000000000000000000"/>
    <w:charset w:val="00"/>
    <w:family w:val="roman"/>
    <w:notTrueType/>
    <w:pitch w:val="default"/>
  </w:font>
  <w:font w:name="Times New Roman Gree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3C399B" w14:paraId="3AC93CB7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A5E271D" w14:textId="77777777" w:rsidR="003C399B" w:rsidRDefault="00A07187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90F4B51" w14:textId="77777777" w:rsidR="003C399B" w:rsidRDefault="00A0718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D6DC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52B0D99" w14:textId="77777777" w:rsidR="003C399B" w:rsidRDefault="003C399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71"/>
      <w:gridCol w:w="3135"/>
    </w:tblGrid>
    <w:tr w:rsidR="003C399B" w14:paraId="7E8E0122" w14:textId="77777777">
      <w:tc>
        <w:tcPr>
          <w:tcW w:w="627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3066A26" w14:textId="77777777" w:rsidR="003C399B" w:rsidRDefault="00A07187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13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822EA94" w14:textId="77777777" w:rsidR="003C399B" w:rsidRDefault="00A0718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D6DCE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28CE7F99" w14:textId="77777777" w:rsidR="003C399B" w:rsidRDefault="003C399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C0535" w14:textId="77777777" w:rsidR="00000000" w:rsidRDefault="00A07187">
      <w:r>
        <w:separator/>
      </w:r>
    </w:p>
  </w:footnote>
  <w:footnote w:type="continuationSeparator" w:id="0">
    <w:p w14:paraId="42C6D622" w14:textId="77777777" w:rsidR="00000000" w:rsidRDefault="00A07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51AA9"/>
    <w:rsid w:val="003C399B"/>
    <w:rsid w:val="007D6DCE"/>
    <w:rsid w:val="00A0718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B7547"/>
  <w15:docId w15:val="{EDCD6C0F-1D34-4353-81E9-91C76A40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3398</Words>
  <Characters>20392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Łodzi</Company>
  <LinksUpToDate>false</LinksUpToDate>
  <CharactersWithSpaces>23743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odmowy ustalenia lokalizacji inwestycji mieszkaniowej i inwestycji towarzyszącej przy ulicach: Piotrkowskiej bez numeru, Wólczańskiej bez numeru, księdza Piotra Skargi bez numeru i Pabianickiej bez numeru w Łodzi.</dc:subject>
  <dc:creator>agacka</dc:creator>
  <cp:lastModifiedBy>Agnieszka Gacka</cp:lastModifiedBy>
  <cp:revision>2</cp:revision>
  <dcterms:created xsi:type="dcterms:W3CDTF">2025-10-14T11:51:00Z</dcterms:created>
  <dcterms:modified xsi:type="dcterms:W3CDTF">2025-10-14T11:51:00Z</dcterms:modified>
  <cp:category>Akt prawny</cp:category>
</cp:coreProperties>
</file>