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6A" w:rsidRDefault="0094166A" w:rsidP="0094166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4166A" w:rsidRDefault="0094166A" w:rsidP="0094166A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156</w:t>
      </w:r>
      <w:r>
        <w:rPr>
          <w:rFonts w:ascii="Times New Roman" w:eastAsia="Calibri" w:hAnsi="Times New Roman" w:cs="Times New Roman"/>
          <w:b/>
          <w:sz w:val="24"/>
          <w:szCs w:val="24"/>
        </w:rPr>
        <w:t>/2025</w:t>
      </w:r>
    </w:p>
    <w:p w:rsidR="0094166A" w:rsidRDefault="0094166A" w:rsidP="0094166A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Projekt z dnia 15 października 2025 r.</w:t>
      </w:r>
    </w:p>
    <w:p w:rsidR="0094166A" w:rsidRDefault="0094166A" w:rsidP="0094166A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4166A" w:rsidRDefault="0094166A" w:rsidP="0094166A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4166A" w:rsidRDefault="0094166A" w:rsidP="0094166A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4166A" w:rsidRDefault="0094166A" w:rsidP="0094166A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94166A" w:rsidRDefault="0094166A" w:rsidP="0094166A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94166A" w:rsidRDefault="0094166A" w:rsidP="0094166A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94166A" w:rsidRDefault="0094166A" w:rsidP="0094166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bookmarkStart w:id="1" w:name="_Hlk210979976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p. </w:t>
      </w:r>
    </w:p>
    <w:p w:rsidR="0094166A" w:rsidRDefault="0094166A" w:rsidP="0094166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na działania Dyrektora Miejskiej Strefy Kultury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</w:t>
      </w:r>
    </w:p>
    <w:bookmarkEnd w:id="1"/>
    <w:p w:rsidR="0094166A" w:rsidRDefault="0094166A" w:rsidP="0094166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4166A" w:rsidRPr="00135A18" w:rsidRDefault="0094166A" w:rsidP="0094166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 podstawie art. 18 ust. 2 pkt 15 ustawy z dnia 8 marca 1990 r. o samorządzie gminnym (</w:t>
      </w:r>
      <w:r w:rsidRPr="00135A18">
        <w:rPr>
          <w:rFonts w:ascii="Times New Roman" w:hAnsi="Times New Roman" w:cs="Times New Roman"/>
          <w:bCs/>
        </w:rPr>
        <w:t>Dz. U. z 2025 r. poz. 1153</w:t>
      </w:r>
      <w:r w:rsidRPr="00135A1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oraz art. 229 pkt 3, art. 237 § 3 oraz art. 238 § 1 ustawy z dnia 14 czerwca 1960 r. - Kodeks postępowania administracyjnego (Dz. U. z 2024 r. poz. 572, z 2025 r. poz. 769), Rada Miejska w Łodzi</w:t>
      </w:r>
    </w:p>
    <w:p w:rsidR="0094166A" w:rsidRDefault="0094166A" w:rsidP="0094166A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166A" w:rsidRDefault="0094166A" w:rsidP="0094166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94166A" w:rsidRDefault="0094166A" w:rsidP="0094166A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166A" w:rsidRDefault="0094166A" w:rsidP="0094166A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§ 1.1.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Skargę</w:t>
      </w:r>
      <w:r w:rsidRPr="00DA341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E00DF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p.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…</w:t>
      </w:r>
      <w:r w:rsidRPr="00E620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na działania Dyrektora Miejskiej Strefy Kultury </w:t>
      </w:r>
      <w:r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94166A" w:rsidRDefault="0094166A" w:rsidP="0094166A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94166A" w:rsidRDefault="0094166A" w:rsidP="0094166A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Skarżącej  niniejszej uchwały wraz z uzasadnieniem.</w:t>
      </w:r>
    </w:p>
    <w:p w:rsidR="0094166A" w:rsidRDefault="0094166A" w:rsidP="0094166A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94166A" w:rsidRDefault="0094166A" w:rsidP="0094166A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166A" w:rsidRDefault="0094166A" w:rsidP="0094166A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166A" w:rsidRDefault="0094166A" w:rsidP="0094166A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94166A" w:rsidRDefault="0094166A" w:rsidP="0094166A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94166A" w:rsidRDefault="0094166A" w:rsidP="0094166A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94166A" w:rsidRDefault="0094166A" w:rsidP="0094166A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94166A" w:rsidRDefault="0094166A" w:rsidP="0094166A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94166A" w:rsidRDefault="0094166A" w:rsidP="0094166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166A" w:rsidRDefault="0094166A" w:rsidP="0094166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166A" w:rsidRDefault="0094166A" w:rsidP="0094166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166A" w:rsidRDefault="0094166A" w:rsidP="0094166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94166A" w:rsidRDefault="0094166A" w:rsidP="0094166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94166A" w:rsidRDefault="0094166A" w:rsidP="0094166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94166A" w:rsidRDefault="0094166A" w:rsidP="0094166A"/>
    <w:p w:rsidR="0094166A" w:rsidRDefault="0094166A" w:rsidP="0094166A"/>
    <w:p w:rsidR="0094166A" w:rsidRDefault="0094166A" w:rsidP="0094166A"/>
    <w:p w:rsidR="0094166A" w:rsidRDefault="0094166A" w:rsidP="0094166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4166A" w:rsidRDefault="0094166A" w:rsidP="0094166A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94166A" w:rsidRDefault="0094166A" w:rsidP="0094166A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94166A" w:rsidRDefault="0094166A" w:rsidP="0094166A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94166A" w:rsidRDefault="0094166A" w:rsidP="0094166A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94166A" w:rsidRDefault="0094166A" w:rsidP="0094166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166A" w:rsidRDefault="0094166A" w:rsidP="0094166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94166A" w:rsidRDefault="0094166A" w:rsidP="0094166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166A" w:rsidRDefault="0094166A" w:rsidP="0094166A">
      <w:pPr>
        <w:pStyle w:val="Default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2" w:name="_Hlk210980073"/>
      <w:r>
        <w:rPr>
          <w:rFonts w:ascii="Times New Roman" w:hAnsi="Times New Roman" w:cs="Times New Roman"/>
        </w:rPr>
        <w:t xml:space="preserve">W dniu 9 września 2025 r. do </w:t>
      </w:r>
      <w:r w:rsidRPr="00E620FD">
        <w:rPr>
          <w:rFonts w:ascii="Times New Roman" w:hAnsi="Times New Roman" w:cs="Times New Roman"/>
        </w:rPr>
        <w:t xml:space="preserve">Rady Miejskiej w Łodzi wpłynęła skarga </w:t>
      </w:r>
      <w:r>
        <w:rPr>
          <w:rFonts w:ascii="Times New Roman" w:hAnsi="Times New Roman" w:cs="Times New Roman"/>
        </w:rPr>
        <w:t xml:space="preserve">na </w:t>
      </w:r>
      <w:r w:rsidRPr="00E620FD">
        <w:rPr>
          <w:rFonts w:ascii="Times New Roman" w:hAnsi="Times New Roman" w:cs="Times New Roman"/>
        </w:rPr>
        <w:t>działa</w:t>
      </w:r>
      <w:r>
        <w:rPr>
          <w:rFonts w:ascii="Times New Roman" w:hAnsi="Times New Roman" w:cs="Times New Roman"/>
        </w:rPr>
        <w:t>nia</w:t>
      </w:r>
      <w:r w:rsidRPr="00E620FD">
        <w:rPr>
          <w:rFonts w:ascii="Times New Roman" w:hAnsi="Times New Roman" w:cs="Times New Roman"/>
        </w:rPr>
        <w:t xml:space="preserve"> Dyrektor</w:t>
      </w:r>
      <w:r>
        <w:rPr>
          <w:rFonts w:ascii="Times New Roman" w:hAnsi="Times New Roman" w:cs="Times New Roman"/>
        </w:rPr>
        <w:t>a</w:t>
      </w:r>
      <w:r w:rsidRPr="00E620FD">
        <w:rPr>
          <w:rFonts w:ascii="Times New Roman" w:hAnsi="Times New Roman" w:cs="Times New Roman"/>
        </w:rPr>
        <w:t xml:space="preserve"> Miejskiej Strefy Kultury w Łodzi</w:t>
      </w:r>
      <w:r>
        <w:rPr>
          <w:rFonts w:ascii="Times New Roman" w:hAnsi="Times New Roman" w:cs="Times New Roman"/>
        </w:rPr>
        <w:t>, w której Skarżąca stawia następujące zarzuty:</w:t>
      </w:r>
    </w:p>
    <w:p w:rsidR="0094166A" w:rsidRPr="00FC68D6" w:rsidRDefault="0094166A" w:rsidP="0094166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Pr="00FC68D6">
        <w:rPr>
          <w:rFonts w:ascii="Times New Roman" w:hAnsi="Times New Roman" w:cs="Times New Roman"/>
        </w:rPr>
        <w:t>ablokowanie wydarzenia „Ech, Poleczko”, które miało być oddolną inicjatywą środowiska folklorystycznego i zostało odwołane zaledwie dwa dni przed planowanym terminem. Wydarzenie miało promować kulturę ludową oraz zespoły artystyczne działające w Łodzi.</w:t>
      </w:r>
    </w:p>
    <w:p w:rsidR="0094166A" w:rsidRPr="00FC68D6" w:rsidRDefault="0094166A" w:rsidP="0094166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</w:t>
      </w:r>
      <w:r w:rsidRPr="00FC68D6">
        <w:rPr>
          <w:rFonts w:ascii="Times New Roman" w:hAnsi="Times New Roman" w:cs="Times New Roman"/>
        </w:rPr>
        <w:t>rak wsparcia finansowego dla zespołu, m.in. poprzez odmowę sfinansowania naprawy obuwia tanecznego, mimo że zbliżał się jubileuszowy koncert zespołu.</w:t>
      </w:r>
    </w:p>
    <w:p w:rsidR="0094166A" w:rsidRDefault="0094166A" w:rsidP="0094166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</w:t>
      </w:r>
      <w:r w:rsidRPr="00FC68D6">
        <w:rPr>
          <w:rFonts w:ascii="Times New Roman" w:hAnsi="Times New Roman" w:cs="Times New Roman"/>
        </w:rPr>
        <w:t xml:space="preserve">aruszenie przepisów RODO, polegające na wykorzystaniu prywatnych komentarzy i danych skarżącej bez jej zgody w wewnętrznej dokumentacji </w:t>
      </w:r>
      <w:r w:rsidRPr="00EC5955">
        <w:rPr>
          <w:rFonts w:ascii="Times New Roman" w:hAnsi="Times New Roman" w:cs="Times New Roman"/>
        </w:rPr>
        <w:t>Miejskiej Strefy Kultury</w:t>
      </w:r>
      <w:r>
        <w:rPr>
          <w:rFonts w:ascii="Times New Roman" w:hAnsi="Times New Roman" w:cs="Times New Roman"/>
        </w:rPr>
        <w:t>.</w:t>
      </w:r>
    </w:p>
    <w:p w:rsidR="0094166A" w:rsidRDefault="0094166A" w:rsidP="0094166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166A" w:rsidRDefault="0094166A" w:rsidP="0094166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94166A" w:rsidRDefault="0094166A" w:rsidP="0094166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bookmarkEnd w:id="2"/>
    <w:p w:rsidR="0094166A" w:rsidRDefault="0094166A" w:rsidP="0094166A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Wydarzenie „Ech, Poleczko” nie zostało odwołane, lecz przełożone z intencją lepszej promocji. </w:t>
      </w:r>
      <w:r w:rsidRPr="00EC5955">
        <w:rPr>
          <w:rFonts w:ascii="Times New Roman" w:eastAsia="Calibri" w:hAnsi="Times New Roman" w:cs="Times New Roman"/>
          <w:sz w:val="24"/>
          <w:szCs w:val="24"/>
          <w:lang w:eastAsia="ar-SA"/>
        </w:rPr>
        <w:t>Miejsk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</w:t>
      </w:r>
      <w:r w:rsidRPr="00EC59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Stref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</w:t>
      </w:r>
      <w:r w:rsidRPr="00EC59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Kultury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planował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wsparcie medialne i promocyjne, jednak po spotkaniu z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przedstawicielami zespołów część z nich zrezygnowała z udziału, co uniemożliwiło realizację wydarzenia w nowym terminie. Kara porządkowa nałożona na pracownika nie miała związku z organizacją wydarzenia, a z naruszeniem procedur informacyjnych i brakiem koordynacji z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Działem Promocji </w:t>
      </w:r>
      <w:r w:rsidRPr="00EC5955">
        <w:rPr>
          <w:rFonts w:ascii="Times New Roman" w:eastAsia="Calibri" w:hAnsi="Times New Roman" w:cs="Times New Roman"/>
          <w:sz w:val="24"/>
          <w:szCs w:val="24"/>
          <w:lang w:eastAsia="ar-SA"/>
        </w:rPr>
        <w:t>Miejsk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iej</w:t>
      </w:r>
      <w:r w:rsidRPr="00EC59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Stref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y</w:t>
      </w:r>
      <w:r w:rsidRPr="00EC59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Kultury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sprawie obuwia tanecznego, </w:t>
      </w:r>
      <w:r w:rsidRPr="00EC5955">
        <w:rPr>
          <w:rFonts w:ascii="Times New Roman" w:eastAsia="Calibri" w:hAnsi="Times New Roman" w:cs="Times New Roman"/>
          <w:sz w:val="24"/>
          <w:szCs w:val="24"/>
          <w:lang w:eastAsia="ar-SA"/>
        </w:rPr>
        <w:t>Miejska Strefa Kultury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wyjaśnia, że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latach 2022–2025 zrealizowano trzy wnioski o naprawę obuwia dla Z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espołu 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ieśni 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T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ańca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„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Łódź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 łączną kwotę 4461,68 zł.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Potrzeby Z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espołu 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ieśni 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T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ańca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„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Łódź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były zaspokajane na poziomie porównywalnym (lub wyższym) względem innych zespołów, pomimo mniejszej liczby członków.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EC59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Miejska Strefa Kultury 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zatrudnił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dodatkową kadrę odpowiedzialną za kostiumy, przeprowadzono cyfrową inwentaryzację oraz remonty zaplecza technicznego zespołów.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W kwestii zarzutu naruszenia danych osobowych, załączona została opinia Inspektora Ochrony Danych Osobowych, z której wynika, że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nie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doszło do naruszenia przepisów RODO. Wykorzystanie wypowiedzi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karżącej odbyło się w zakresie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J</w:t>
      </w:r>
      <w:r w:rsidRPr="00FC68D6">
        <w:rPr>
          <w:rFonts w:ascii="Times New Roman" w:eastAsia="Calibri" w:hAnsi="Times New Roman" w:cs="Times New Roman"/>
          <w:sz w:val="24"/>
          <w:szCs w:val="24"/>
          <w:lang w:eastAsia="ar-SA"/>
        </w:rPr>
        <w:t>ej publicznej działalności i było zgodne z przepisami.</w:t>
      </w:r>
    </w:p>
    <w:p w:rsidR="0094166A" w:rsidRDefault="0094166A" w:rsidP="0094166A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4166A" w:rsidRDefault="0094166A" w:rsidP="0094166A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skargę za bezzasadną. </w:t>
      </w:r>
    </w:p>
    <w:p w:rsidR="0094166A" w:rsidRDefault="0094166A" w:rsidP="009416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166A" w:rsidRDefault="0094166A" w:rsidP="0094166A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94166A" w:rsidRDefault="0094166A" w:rsidP="009416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4166A" w:rsidRPr="00584443" w:rsidRDefault="0094166A" w:rsidP="0094166A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Stosownie do art. 239 § 1 Kodeksu postępowania administracyjnego, Rada Miejska w Łodzi informuje, że: „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1E0534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6A"/>
    <w:rsid w:val="001A7B09"/>
    <w:rsid w:val="001E0534"/>
    <w:rsid w:val="00776C89"/>
    <w:rsid w:val="0094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18152-D12D-4773-BE32-F1CA9A3B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66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1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2025-10-20T07:53:00Z</dcterms:created>
  <dcterms:modified xsi:type="dcterms:W3CDTF">2025-10-20T07:53:00Z</dcterms:modified>
</cp:coreProperties>
</file>