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A77B3E">
      <w:pPr>
        <w:ind w:left="6236"/>
        <w:jc w:val="left"/>
        <w:rPr>
          <w:b/>
          <w:i/>
          <w:u w:val="thick"/>
        </w:rPr>
      </w:pPr>
    </w:p>
    <w:p w:rsidR="00A77B3E" w:rsidRDefault="00DD7DCC">
      <w:pPr>
        <w:ind w:left="6236"/>
        <w:jc w:val="left"/>
      </w:pPr>
      <w:r>
        <w:t>Druk Nr</w:t>
      </w:r>
      <w:r w:rsidR="005574AD">
        <w:t xml:space="preserve"> 259/2025</w:t>
      </w:r>
    </w:p>
    <w:p w:rsidR="00A77B3E" w:rsidRDefault="00DD7DCC">
      <w:pPr>
        <w:ind w:left="6236"/>
        <w:jc w:val="left"/>
      </w:pPr>
      <w:r>
        <w:t>Projekt z dnia</w:t>
      </w:r>
      <w:r w:rsidR="005574AD">
        <w:t xml:space="preserve"> 14 listopada 2025 r.</w:t>
      </w:r>
    </w:p>
    <w:p w:rsidR="00A77B3E" w:rsidRDefault="00A77B3E">
      <w:pPr>
        <w:ind w:left="6236"/>
        <w:jc w:val="left"/>
      </w:pPr>
    </w:p>
    <w:p w:rsidR="00A77B3E" w:rsidRDefault="00DD7DCC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A77B3E" w:rsidRDefault="00DD7DCC">
      <w:pPr>
        <w:spacing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A77B3E" w:rsidRDefault="00DD7DCC">
      <w:pPr>
        <w:keepNext/>
        <w:spacing w:after="240"/>
      </w:pPr>
      <w:r>
        <w:rPr>
          <w:b/>
        </w:rPr>
        <w:br/>
      </w:r>
      <w:bookmarkStart w:id="0" w:name="_GoBack"/>
      <w:r>
        <w:rPr>
          <w:b/>
        </w:rPr>
        <w:t>w sprawie określenia zasad sprzedaży w drodze przetargu samodzielnych lokali mieszkalnych, samodzielnych lokali użytkowych, garaży i samodzielnych pomieszczeń gospodarczych</w:t>
      </w:r>
      <w:bookmarkEnd w:id="0"/>
      <w:r>
        <w:rPr>
          <w:b/>
        </w:rPr>
        <w:t>.</w:t>
      </w:r>
    </w:p>
    <w:p w:rsidR="00A77B3E" w:rsidRDefault="00DD7DCC">
      <w:pPr>
        <w:keepLines/>
        <w:spacing w:before="120" w:after="120"/>
        <w:ind w:firstLine="567"/>
        <w:jc w:val="both"/>
      </w:pPr>
      <w:r>
        <w:t>Na podstawie art. 18 ust. 2 pkt 9 lit. a oraz art. 40 ust. 1 i ust. 2 pkt 3 ustawy z dnia</w:t>
      </w:r>
      <w:r>
        <w:br/>
        <w:t>8 marca 1990 r. o samorządzie gminnym (Dz. U. z 2025 r. poz. 1153 i 1436) i art. 13 ust. 1 ustawy z dnia 21 sierpnia 1997 r. o gospodarce nieruchomościami (Dz. U. z 2024 r. poz. 1145, 1222, 1717</w:t>
      </w:r>
      <w:r w:rsidR="001A3C35">
        <w:t xml:space="preserve"> i</w:t>
      </w:r>
      <w:r>
        <w:t xml:space="preserve"> 1881 oraz z 2025 r. poz. 1077 i 1080), Rada Miejska w Łodzi</w:t>
      </w:r>
    </w:p>
    <w:p w:rsidR="00A77B3E" w:rsidRDefault="00DD7DCC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A77B3E" w:rsidRDefault="00DD7DCC">
      <w:pPr>
        <w:keepLines/>
        <w:spacing w:before="240" w:after="120"/>
        <w:ind w:firstLine="567"/>
        <w:jc w:val="both"/>
      </w:pPr>
      <w:r>
        <w:t>§ 1. Uchwała określa zasady sprzedaży w drodze przetargu samodzielnych lokali mieszkalnych, samodzielnych lokali użytkowych, garaży i samodzielnych pomieszczeń gospodarczych, niebędących przedmiotem najmu, stanowiących własność Miasta Łodzi.</w:t>
      </w:r>
    </w:p>
    <w:p w:rsidR="00A77B3E" w:rsidRDefault="00DD7DCC">
      <w:pPr>
        <w:keepLines/>
        <w:spacing w:before="240" w:after="120"/>
        <w:ind w:firstLine="567"/>
        <w:jc w:val="both"/>
      </w:pPr>
      <w:r>
        <w:t>§ 2. Sprzedaży podlegają niebędące przedmiotem najmu samodzielne lokale mieszkalne, samodzielne lokale użytkowe, garaże i samodzielne pomieszczenia gospodarcze usytuowane w budynkach, w których wyodrębniono własność lokali.</w:t>
      </w:r>
    </w:p>
    <w:p w:rsidR="00A77B3E" w:rsidRDefault="00DD7DCC">
      <w:pPr>
        <w:keepLines/>
        <w:spacing w:before="240" w:after="120"/>
        <w:ind w:firstLine="567"/>
        <w:jc w:val="both"/>
      </w:pPr>
      <w:r>
        <w:t>§ 3. </w:t>
      </w:r>
      <w:r>
        <w:tab/>
        <w:t>Sprzedaży nie podlegają samodzielne lokale mieszkalne, samodzielne lokale użytkowe, garaże i samodzielne pomieszczenia gospodarcze:</w:t>
      </w:r>
    </w:p>
    <w:p w:rsidR="00A77B3E" w:rsidRDefault="00DD7DCC">
      <w:pPr>
        <w:spacing w:before="120" w:after="120"/>
        <w:ind w:left="227" w:hanging="227"/>
        <w:jc w:val="both"/>
      </w:pPr>
      <w:r>
        <w:t>1) w budynkach wyłączonych z użytkowania;</w:t>
      </w:r>
    </w:p>
    <w:p w:rsidR="00A77B3E" w:rsidRDefault="00DD7DCC">
      <w:pPr>
        <w:spacing w:before="120" w:after="120"/>
        <w:ind w:left="227" w:hanging="227"/>
        <w:jc w:val="both"/>
      </w:pPr>
      <w:r>
        <w:t>2) w budynkach przeznaczonych do rozbiórki;</w:t>
      </w:r>
    </w:p>
    <w:p w:rsidR="00A77B3E" w:rsidRDefault="00DD7DCC">
      <w:pPr>
        <w:spacing w:before="120" w:after="120"/>
        <w:ind w:left="227" w:hanging="227"/>
        <w:jc w:val="both"/>
      </w:pPr>
      <w:r>
        <w:t>3) w budynkach szkolnych i innych budynkach stanowiących siedziby placówek oświatowych;</w:t>
      </w:r>
    </w:p>
    <w:p w:rsidR="00A77B3E" w:rsidRDefault="00DD7DCC">
      <w:pPr>
        <w:spacing w:before="120" w:after="120"/>
        <w:ind w:left="227" w:hanging="227"/>
        <w:jc w:val="both"/>
      </w:pPr>
      <w:r>
        <w:t>4) znajdujące się w halach targowych;</w:t>
      </w:r>
    </w:p>
    <w:p w:rsidR="00A77B3E" w:rsidRDefault="00DD7DCC">
      <w:pPr>
        <w:spacing w:before="120" w:after="120"/>
        <w:ind w:left="227" w:hanging="227"/>
        <w:jc w:val="both"/>
      </w:pPr>
      <w:r>
        <w:t>5) usytuowane w budynkach na nieruchomości wytypowanej do zbycia w drodze przetargu;</w:t>
      </w:r>
    </w:p>
    <w:p w:rsidR="00A77B3E" w:rsidRDefault="00DD7DCC">
      <w:pPr>
        <w:spacing w:before="120" w:after="120"/>
        <w:ind w:left="227" w:hanging="227"/>
        <w:jc w:val="both"/>
      </w:pPr>
      <w:r>
        <w:t>6) w budynkach położonych na nieruchomościach o nieuregulowanym stanie prawnym.</w:t>
      </w:r>
    </w:p>
    <w:p w:rsidR="00A77B3E" w:rsidRDefault="00DD7DCC">
      <w:pPr>
        <w:keepLines/>
        <w:spacing w:before="240" w:after="120"/>
        <w:ind w:firstLine="567"/>
        <w:jc w:val="both"/>
      </w:pPr>
      <w:r>
        <w:t>§ 4. Dotychczasowe zarządzenia Prezydenta Miasta Łodzi wydane na podstawie uchwały, o której mowa w § 6, zachowują moc i mogą być zmieniane.</w:t>
      </w:r>
    </w:p>
    <w:p w:rsidR="00A77B3E" w:rsidRDefault="00DD7DCC">
      <w:pPr>
        <w:keepLines/>
        <w:spacing w:before="240" w:after="120"/>
        <w:ind w:firstLine="567"/>
        <w:jc w:val="both"/>
      </w:pPr>
      <w:r>
        <w:t>§ 5. Wykonanie uchwały powierza się Prezydentowi Miasta Łodzi.</w:t>
      </w:r>
    </w:p>
    <w:p w:rsidR="00A77B3E" w:rsidRDefault="00DD7DCC">
      <w:pPr>
        <w:keepLines/>
        <w:spacing w:before="240" w:after="120"/>
        <w:ind w:firstLine="567"/>
        <w:jc w:val="both"/>
      </w:pPr>
      <w:r>
        <w:t>§ 6. Traci moc uchwała Nr IX/112/03 Rady Miejskiej w Łodzi z dnia 19 marca 2003 r.</w:t>
      </w:r>
      <w:r>
        <w:br/>
        <w:t>w sprawie zasad sprzedaży samodzielnych lokali mieszkalnych i użytkowych stanowiących własność miasta Łodzi (Dz. Urz. Woj. Łódzkiego Nr 109 poz. 1079).</w:t>
      </w:r>
    </w:p>
    <w:p w:rsidR="00A77B3E" w:rsidRDefault="00DD7DCC">
      <w:pPr>
        <w:keepNext/>
        <w:keepLines/>
        <w:spacing w:before="240" w:after="120"/>
        <w:ind w:firstLine="567"/>
        <w:jc w:val="both"/>
      </w:pPr>
      <w:r>
        <w:lastRenderedPageBreak/>
        <w:t>§ 7. Uchwała wchodzi w życie po upływie 14 dni od dnia jej ogłoszenia w Dzienniku Urzędowym Województwa Łódzkiego.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2"/>
        <w:gridCol w:w="4803"/>
      </w:tblGrid>
      <w:tr w:rsidR="00F51A5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A5A" w:rsidRDefault="00F51A5A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A5A" w:rsidRDefault="00DD7DCC">
            <w:pPr>
              <w:keepLines/>
              <w:spacing w:before="520" w:after="520"/>
              <w:ind w:left="567" w:right="567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A77B3E" w:rsidRDefault="00DD7DCC">
      <w:pPr>
        <w:ind w:left="283" w:firstLine="227"/>
        <w:jc w:val="both"/>
      </w:pPr>
      <w:r>
        <w:t>Projektodawcą jest</w:t>
      </w:r>
    </w:p>
    <w:p w:rsidR="00F51A5A" w:rsidRDefault="00DD7DCC" w:rsidP="00DD7DCC">
      <w:pPr>
        <w:ind w:left="283" w:firstLine="227"/>
        <w:jc w:val="both"/>
      </w:pPr>
      <w:r>
        <w:t>Prezydent Miasta Łodzi</w:t>
      </w: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D7DCC" w:rsidRDefault="00DD7DCC" w:rsidP="00DD7DCC">
      <w:pPr>
        <w:ind w:left="283" w:firstLine="227"/>
        <w:jc w:val="both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F51A5A" w:rsidRPr="0014725D" w:rsidRDefault="00DD7DCC">
      <w:pPr>
        <w:spacing w:line="360" w:lineRule="auto"/>
        <w:rPr>
          <w:b/>
          <w:caps/>
          <w:color w:val="000000"/>
          <w:szCs w:val="20"/>
          <w:shd w:val="clear" w:color="auto" w:fill="FFFFFF"/>
        </w:rPr>
      </w:pPr>
      <w:r w:rsidRPr="0014725D">
        <w:rPr>
          <w:b/>
          <w:caps/>
          <w:color w:val="000000"/>
          <w:szCs w:val="20"/>
          <w:shd w:val="clear" w:color="auto" w:fill="FFFFFF"/>
        </w:rPr>
        <w:t>Uzasadnienie</w:t>
      </w:r>
    </w:p>
    <w:p w:rsidR="00F51A5A" w:rsidRPr="0014725D" w:rsidRDefault="00F51A5A">
      <w:pPr>
        <w:jc w:val="both"/>
        <w:rPr>
          <w:color w:val="000000"/>
          <w:szCs w:val="20"/>
          <w:shd w:val="clear" w:color="auto" w:fill="FFFFFF"/>
        </w:rPr>
      </w:pPr>
    </w:p>
    <w:p w:rsidR="00F51A5A" w:rsidRPr="0014725D" w:rsidRDefault="00DD7DCC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14725D">
        <w:rPr>
          <w:color w:val="000000"/>
          <w:szCs w:val="20"/>
          <w:shd w:val="clear" w:color="auto" w:fill="FFFFFF"/>
          <w:lang w:eastAsia="en-US" w:bidi="ar-SA"/>
        </w:rPr>
        <w:t xml:space="preserve">W dniu 19 marca 2003 r. </w:t>
      </w:r>
      <w:r w:rsidRPr="0014725D">
        <w:rPr>
          <w:color w:val="000000"/>
          <w:szCs w:val="20"/>
          <w:shd w:val="clear" w:color="auto" w:fill="FFFFFF"/>
          <w:lang w:eastAsia="en-US" w:bidi="en-US"/>
        </w:rPr>
        <w:t xml:space="preserve">Rada Miejska w Łodzi podjęła uchwałę </w:t>
      </w:r>
      <w:r w:rsidR="00465F3B" w:rsidRPr="0014725D">
        <w:rPr>
          <w:color w:val="000000"/>
          <w:szCs w:val="20"/>
          <w:shd w:val="clear" w:color="auto" w:fill="FFFFFF"/>
          <w:lang w:eastAsia="en-US" w:bidi="en-US"/>
        </w:rPr>
        <w:t>dotyczącą</w:t>
      </w:r>
      <w:r w:rsidRPr="0014725D">
        <w:rPr>
          <w:color w:val="000000"/>
          <w:szCs w:val="20"/>
          <w:shd w:val="clear" w:color="auto" w:fill="FFFFFF"/>
          <w:lang w:eastAsia="en-US" w:bidi="en-US"/>
        </w:rPr>
        <w:t xml:space="preserve"> zasad sprzedaży w drodze przetargu oraz na rzecz właścicieli lokali wyodrębnionych, samodzielnych lokali mieszkalnych i użytkowych stanowiących własność miasta Łodzi. </w:t>
      </w:r>
    </w:p>
    <w:p w:rsidR="00F51A5A" w:rsidRPr="0014725D" w:rsidRDefault="00DD7DCC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14725D">
        <w:rPr>
          <w:color w:val="000000"/>
          <w:szCs w:val="20"/>
          <w:shd w:val="clear" w:color="auto" w:fill="FFFFFF"/>
          <w:lang w:eastAsia="en-US" w:bidi="en-US"/>
        </w:rPr>
        <w:t xml:space="preserve">Po ponad 20 latach obowiązywania przepisów zachodzi konieczność ich aktualizacji. </w:t>
      </w:r>
      <w:r w:rsidRPr="0014725D">
        <w:rPr>
          <w:color w:val="000000"/>
          <w:szCs w:val="20"/>
          <w:shd w:val="clear" w:color="auto" w:fill="FFFFFF"/>
          <w:lang w:eastAsia="en-US" w:bidi="ar-SA"/>
        </w:rPr>
        <w:br/>
      </w:r>
      <w:r w:rsidRPr="0014725D">
        <w:rPr>
          <w:color w:val="000000"/>
          <w:szCs w:val="20"/>
          <w:shd w:val="clear" w:color="auto" w:fill="FFFFFF"/>
          <w:lang w:eastAsia="en-US" w:bidi="en-US"/>
        </w:rPr>
        <w:t>W związku z bogatym doświadczeniem zawodowym i praktyczną wiedzą zdobytą podczas stosowania przepisów ww. uchwały proponujemy wprowadzenie następujących zmian</w:t>
      </w:r>
      <w:r w:rsidRPr="0014725D">
        <w:rPr>
          <w:color w:val="000000"/>
          <w:szCs w:val="20"/>
          <w:shd w:val="clear" w:color="auto" w:fill="FFFFFF"/>
          <w:lang w:eastAsia="en-US" w:bidi="ar-SA"/>
        </w:rPr>
        <w:t>.</w:t>
      </w:r>
    </w:p>
    <w:p w:rsidR="00F51A5A" w:rsidRPr="0014725D" w:rsidRDefault="00DD7DCC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14725D">
        <w:rPr>
          <w:color w:val="000000"/>
          <w:szCs w:val="20"/>
          <w:shd w:val="clear" w:color="auto" w:fill="FFFFFF"/>
          <w:lang w:eastAsia="en-US" w:bidi="en-US"/>
        </w:rPr>
        <w:t>Przepis określający, że lokale mieszkalne niebędące przedmiotem najmu mogą podlegać sprzedaży</w:t>
      </w:r>
      <w:r w:rsidRPr="0014725D">
        <w:rPr>
          <w:color w:val="000000"/>
          <w:szCs w:val="20"/>
          <w:shd w:val="clear" w:color="auto" w:fill="FFFFFF"/>
          <w:lang w:eastAsia="en-US" w:bidi="ar-SA"/>
        </w:rPr>
        <w:t>,</w:t>
      </w:r>
      <w:r w:rsidRPr="0014725D">
        <w:rPr>
          <w:color w:val="000000"/>
          <w:szCs w:val="20"/>
          <w:shd w:val="clear" w:color="auto" w:fill="FFFFFF"/>
          <w:lang w:eastAsia="en-US" w:bidi="en-US"/>
        </w:rPr>
        <w:t xml:space="preserve"> jest przeniesieniem art. 37 ustawy z dnia 21 sierpnia 1997 r. o gospodarce nieruchomościami. W związku z powyższym nie ma potrzeby zachowania </w:t>
      </w:r>
      <w:r w:rsidRPr="0014725D">
        <w:rPr>
          <w:color w:val="000000"/>
          <w:szCs w:val="20"/>
          <w:shd w:val="clear" w:color="auto" w:fill="FFFFFF"/>
          <w:lang w:eastAsia="en-US" w:bidi="ar-SA"/>
        </w:rPr>
        <w:br/>
      </w:r>
      <w:r w:rsidRPr="0014725D">
        <w:rPr>
          <w:color w:val="000000"/>
          <w:szCs w:val="20"/>
          <w:shd w:val="clear" w:color="auto" w:fill="FFFFFF"/>
          <w:lang w:eastAsia="en-US" w:bidi="en-US"/>
        </w:rPr>
        <w:t>ww.</w:t>
      </w:r>
      <w:r w:rsidRPr="0014725D"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 w:rsidRPr="0014725D">
        <w:rPr>
          <w:color w:val="000000"/>
          <w:szCs w:val="20"/>
          <w:shd w:val="clear" w:color="auto" w:fill="FFFFFF"/>
          <w:lang w:eastAsia="en-US" w:bidi="en-US"/>
        </w:rPr>
        <w:t>przepisu w uchwale.</w:t>
      </w:r>
    </w:p>
    <w:p w:rsidR="00F51A5A" w:rsidRPr="0014725D" w:rsidRDefault="00DD7DCC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14725D">
        <w:rPr>
          <w:color w:val="000000"/>
          <w:szCs w:val="20"/>
          <w:shd w:val="clear" w:color="auto" w:fill="FFFFFF"/>
          <w:lang w:eastAsia="en-US" w:bidi="en-US"/>
        </w:rPr>
        <w:t>Przepisy wprowadziły w 2003 r. możliwość nabycia wolnego lokalu w pierwszej kolejności przez właścicieli lokali wyodrębnionych w danej nieruchomości, pod warunkiem jego nabycia przez wszystkich członków wspólnoty mieszkaniowej. Przez ponad 20 lat jego obowiązywania nie doszło do takiej sprzedaży. Przepis należy więc uznać za martwy i usunąć z obrotu prawnego.</w:t>
      </w:r>
    </w:p>
    <w:p w:rsidR="00F51A5A" w:rsidRPr="0014725D" w:rsidRDefault="00DD7DCC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14725D">
        <w:rPr>
          <w:color w:val="000000"/>
          <w:szCs w:val="20"/>
          <w:shd w:val="clear" w:color="auto" w:fill="FFFFFF"/>
          <w:lang w:eastAsia="en-US" w:bidi="en-US"/>
        </w:rPr>
        <w:t xml:space="preserve">Przepisy uchwały Nr XXIII/561/16 Rady Miejskiej w Łodzi z dnia 20 stycznia 2016 r. </w:t>
      </w:r>
      <w:r w:rsidRPr="0014725D">
        <w:rPr>
          <w:color w:val="000000"/>
          <w:szCs w:val="20"/>
          <w:shd w:val="clear" w:color="auto" w:fill="FFFFFF"/>
          <w:lang w:eastAsia="en-US" w:bidi="en-US"/>
        </w:rPr>
        <w:br/>
        <w:t xml:space="preserve">w sprawie utworzenia jednostki budżetowej Zarząd Lokali Miejskich i nadania jej statutu </w:t>
      </w:r>
      <w:r w:rsidRPr="0014725D">
        <w:rPr>
          <w:color w:val="000000"/>
          <w:szCs w:val="20"/>
          <w:shd w:val="clear" w:color="auto" w:fill="FFFFFF"/>
          <w:lang w:eastAsia="en-US" w:bidi="en-US"/>
        </w:rPr>
        <w:br/>
        <w:t xml:space="preserve">(z późn. zm.) opisują zasady gospodarowania zasobem komunalnym Gminy, które należą </w:t>
      </w:r>
      <w:r w:rsidRPr="0014725D">
        <w:rPr>
          <w:color w:val="000000"/>
          <w:szCs w:val="20"/>
          <w:shd w:val="clear" w:color="auto" w:fill="FFFFFF"/>
          <w:lang w:eastAsia="en-US" w:bidi="ar-SA"/>
        </w:rPr>
        <w:br/>
      </w:r>
      <w:r w:rsidRPr="0014725D">
        <w:rPr>
          <w:color w:val="000000"/>
          <w:szCs w:val="20"/>
          <w:shd w:val="clear" w:color="auto" w:fill="FFFFFF"/>
          <w:lang w:eastAsia="en-US" w:bidi="en-US"/>
        </w:rPr>
        <w:t xml:space="preserve">do kompetencji Zarządu Lokali Miejskich. Nie ma więc konieczności zawierania ich w uchwale określającej zasady sprzedaży lokali. </w:t>
      </w:r>
    </w:p>
    <w:p w:rsidR="00F51A5A" w:rsidRPr="0014725D" w:rsidRDefault="00DD7DCC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14725D">
        <w:rPr>
          <w:color w:val="000000"/>
          <w:szCs w:val="20"/>
          <w:shd w:val="clear" w:color="auto" w:fill="FFFFFF"/>
          <w:lang w:eastAsia="en-US" w:bidi="en-US"/>
        </w:rPr>
        <w:t>Biorąc pod uwagę tak liczne zmiany oraz zasady techniki prawodawczej</w:t>
      </w:r>
      <w:r w:rsidRPr="0014725D">
        <w:rPr>
          <w:color w:val="000000"/>
          <w:szCs w:val="20"/>
          <w:shd w:val="clear" w:color="auto" w:fill="FFFFFF"/>
          <w:lang w:eastAsia="en-US" w:bidi="ar-SA"/>
        </w:rPr>
        <w:t>,</w:t>
      </w:r>
      <w:r w:rsidRPr="0014725D">
        <w:rPr>
          <w:color w:val="000000"/>
          <w:szCs w:val="20"/>
          <w:shd w:val="clear" w:color="auto" w:fill="FFFFFF"/>
          <w:lang w:eastAsia="en-US" w:bidi="en-US"/>
        </w:rPr>
        <w:t xml:space="preserve"> właściwym jest uchylenie dotychczasowej regulacji i podjęcie nowej uchwały. </w:t>
      </w:r>
    </w:p>
    <w:p w:rsidR="00F51A5A" w:rsidRPr="0014725D" w:rsidRDefault="00DD7DCC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 w:bidi="en-US"/>
        </w:rPr>
      </w:pPr>
      <w:r w:rsidRPr="0014725D">
        <w:rPr>
          <w:color w:val="000000"/>
          <w:szCs w:val="20"/>
          <w:shd w:val="clear" w:color="auto" w:fill="FFFFFF"/>
          <w:lang w:eastAsia="en-US" w:bidi="en-US"/>
        </w:rPr>
        <w:t xml:space="preserve">W </w:t>
      </w:r>
      <w:r w:rsidRPr="0014725D">
        <w:rPr>
          <w:color w:val="000000"/>
          <w:szCs w:val="20"/>
          <w:shd w:val="clear" w:color="auto" w:fill="FFFFFF"/>
          <w:lang w:eastAsia="en-US" w:bidi="ar-SA"/>
        </w:rPr>
        <w:t>proponowanej</w:t>
      </w:r>
      <w:r w:rsidRPr="0014725D">
        <w:rPr>
          <w:color w:val="000000"/>
          <w:szCs w:val="20"/>
          <w:shd w:val="clear" w:color="auto" w:fill="FFFFFF"/>
          <w:lang w:eastAsia="en-US" w:bidi="en-US"/>
        </w:rPr>
        <w:t xml:space="preserve"> uchwale chcemy wprowadzić możliwość sprzedaży w drodze przetargu pomieszczeń gospodarczych oraz rozszerzyć katalog budynków, w których lokale nie podlegają sprzedaży. Ma to na celu ujęcie przepisów obecnie obowiązujących w uchwałach </w:t>
      </w:r>
      <w:r w:rsidRPr="0014725D">
        <w:rPr>
          <w:color w:val="000000"/>
          <w:szCs w:val="20"/>
          <w:shd w:val="clear" w:color="auto" w:fill="FFFFFF"/>
          <w:lang w:eastAsia="en-US" w:bidi="en-US"/>
        </w:rPr>
        <w:br/>
        <w:t xml:space="preserve">w sprawie zasad sprzedaży lokali mieszkalnych i użytkowych na rzecz ich najemców bądź dzierżawców. </w:t>
      </w:r>
    </w:p>
    <w:p w:rsidR="00F51A5A" w:rsidRPr="0014725D" w:rsidRDefault="00F51A5A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 w:bidi="ar-SA"/>
        </w:rPr>
      </w:pPr>
    </w:p>
    <w:p w:rsidR="00F51A5A" w:rsidRPr="0014725D" w:rsidRDefault="00F51A5A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 w:bidi="ar-SA"/>
        </w:rPr>
      </w:pPr>
    </w:p>
    <w:sectPr w:rsidR="00F51A5A" w:rsidRPr="0014725D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C9" w:rsidRDefault="009058C9">
      <w:r>
        <w:separator/>
      </w:r>
    </w:p>
  </w:endnote>
  <w:endnote w:type="continuationSeparator" w:id="0">
    <w:p w:rsidR="009058C9" w:rsidRDefault="00905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F51A5A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51A5A" w:rsidRDefault="00DD7DCC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51A5A" w:rsidRDefault="00DD7DC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E7D06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F51A5A" w:rsidRDefault="00F51A5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C9" w:rsidRDefault="009058C9">
      <w:r>
        <w:separator/>
      </w:r>
    </w:p>
  </w:footnote>
  <w:footnote w:type="continuationSeparator" w:id="0">
    <w:p w:rsidR="009058C9" w:rsidRDefault="00905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4725D"/>
    <w:rsid w:val="001A3C35"/>
    <w:rsid w:val="00465F3B"/>
    <w:rsid w:val="005574AD"/>
    <w:rsid w:val="009058C9"/>
    <w:rsid w:val="00A77B3E"/>
    <w:rsid w:val="00B52499"/>
    <w:rsid w:val="00CA2A55"/>
    <w:rsid w:val="00DD7DCC"/>
    <w:rsid w:val="00F51A5A"/>
    <w:rsid w:val="00F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E891DE-B417-4950-9EA3-B1A21DD1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center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C24F0-CDD3-4A94-BDDA-298E500E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Rady Miejskiej w Łodzi</vt:lpstr>
      <vt:lpstr/>
    </vt:vector>
  </TitlesOfParts>
  <Company>Rada Miejska w Łodzi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Rady Miejskiej w Łodzi</dc:title>
  <dc:subject>Uchwała Nr
z dnia
w sprawie określenia zasad sprzedaży w drodze przetargu samodzielnych lokali mieszkalnych, samodzielnych lokali użytkowych, garaży i samodzielnych pomieszczeń gospodarczych.</dc:subject>
  <dc:creator>mtatarska</dc:creator>
  <cp:lastModifiedBy>Małgorzata Wójcik</cp:lastModifiedBy>
  <cp:revision>2</cp:revision>
  <dcterms:created xsi:type="dcterms:W3CDTF">2025-11-17T09:02:00Z</dcterms:created>
  <dcterms:modified xsi:type="dcterms:W3CDTF">2025-11-17T09:02:00Z</dcterms:modified>
  <cp:category>Akt prawny</cp:category>
</cp:coreProperties>
</file>