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1FD6E" w14:textId="77777777" w:rsidR="00A77B3E" w:rsidRDefault="00A77B3E">
      <w:pPr>
        <w:ind w:left="7370"/>
        <w:jc w:val="left"/>
        <w:rPr>
          <w:b/>
          <w:i/>
          <w:sz w:val="20"/>
          <w:u w:val="thick"/>
        </w:rPr>
      </w:pPr>
    </w:p>
    <w:p w14:paraId="3F4466F6" w14:textId="77777777" w:rsidR="00A77B3E" w:rsidRDefault="00A77B3E">
      <w:pPr>
        <w:ind w:left="7370"/>
        <w:jc w:val="left"/>
        <w:rPr>
          <w:b/>
          <w:i/>
          <w:sz w:val="20"/>
          <w:u w:val="thick"/>
        </w:rPr>
      </w:pPr>
    </w:p>
    <w:p w14:paraId="3E2ECAE7" w14:textId="0FD2483B" w:rsidR="00A77B3E" w:rsidRDefault="00862C81" w:rsidP="00812767">
      <w:pPr>
        <w:ind w:left="6521"/>
        <w:jc w:val="left"/>
        <w:rPr>
          <w:sz w:val="20"/>
        </w:rPr>
      </w:pPr>
      <w:r>
        <w:rPr>
          <w:sz w:val="20"/>
        </w:rPr>
        <w:t>Druk Nr</w:t>
      </w:r>
      <w:r w:rsidR="00812767">
        <w:rPr>
          <w:sz w:val="20"/>
        </w:rPr>
        <w:t xml:space="preserve"> </w:t>
      </w:r>
      <w:bookmarkStart w:id="0" w:name="_GoBack"/>
      <w:r w:rsidR="00812767">
        <w:rPr>
          <w:sz w:val="20"/>
        </w:rPr>
        <w:t>264/2025</w:t>
      </w:r>
      <w:bookmarkEnd w:id="0"/>
    </w:p>
    <w:p w14:paraId="242ACA19" w14:textId="0995F13D" w:rsidR="00A77B3E" w:rsidRDefault="00862C81" w:rsidP="00812767">
      <w:pPr>
        <w:ind w:left="6521"/>
        <w:jc w:val="left"/>
        <w:rPr>
          <w:sz w:val="20"/>
        </w:rPr>
      </w:pPr>
      <w:r>
        <w:rPr>
          <w:sz w:val="20"/>
        </w:rPr>
        <w:t>Projekt z dnia</w:t>
      </w:r>
      <w:r w:rsidR="00812767">
        <w:rPr>
          <w:sz w:val="20"/>
        </w:rPr>
        <w:t xml:space="preserve"> 17.11.2025 r.</w:t>
      </w:r>
    </w:p>
    <w:p w14:paraId="1897F42E" w14:textId="77777777" w:rsidR="00A77B3E" w:rsidRDefault="00A77B3E">
      <w:pPr>
        <w:ind w:left="7370"/>
        <w:jc w:val="left"/>
        <w:rPr>
          <w:sz w:val="20"/>
        </w:rPr>
      </w:pPr>
    </w:p>
    <w:p w14:paraId="187F4D0C" w14:textId="77777777" w:rsidR="00A77B3E" w:rsidRDefault="00862C81">
      <w:pPr>
        <w:jc w:val="left"/>
        <w:rPr>
          <w:b/>
          <w:caps/>
        </w:rPr>
      </w:pPr>
      <w:r>
        <w:rPr>
          <w:b/>
          <w:caps/>
        </w:rPr>
        <w:t>                    </w:t>
      </w:r>
    </w:p>
    <w:p w14:paraId="66BB9202" w14:textId="77777777" w:rsidR="00A77B3E" w:rsidRDefault="00862C81">
      <w:pPr>
        <w:rPr>
          <w:b/>
          <w:caps/>
        </w:rPr>
      </w:pPr>
      <w:r>
        <w:rPr>
          <w:b/>
          <w:caps/>
        </w:rPr>
        <w:t>Uchwała</w:t>
      </w:r>
      <w:r>
        <w:rPr>
          <w:b/>
          <w:caps/>
        </w:rPr>
        <w:br/>
        <w:t>Rady Miejskiej w Łodzi</w:t>
      </w:r>
    </w:p>
    <w:p w14:paraId="44DD4FF6" w14:textId="77777777" w:rsidR="00A77B3E" w:rsidRDefault="00862C81">
      <w:pPr>
        <w:spacing w:before="240" w:after="240"/>
        <w:rPr>
          <w:b/>
          <w:caps/>
        </w:rPr>
      </w:pPr>
      <w:r>
        <w:rPr>
          <w:b/>
        </w:rPr>
        <w:t>z dnia                      2025 r.</w:t>
      </w:r>
    </w:p>
    <w:p w14:paraId="79516628" w14:textId="77777777" w:rsidR="00A77B3E" w:rsidRDefault="00862C81">
      <w:pPr>
        <w:keepNext/>
        <w:spacing w:after="480"/>
      </w:pPr>
      <w:r>
        <w:rPr>
          <w:b/>
        </w:rPr>
        <w:t>zmieniająca uchwałę w sprawie przyjęcia Wieloletniego programu gospodarowania mieszkaniowym zasobem Miasta Łodzi na lata 2025-2030.</w:t>
      </w:r>
    </w:p>
    <w:p w14:paraId="42C90BE9" w14:textId="77777777" w:rsidR="00A77B3E" w:rsidRDefault="00862C81">
      <w:pPr>
        <w:keepLines/>
        <w:spacing w:before="120" w:after="120"/>
        <w:ind w:firstLine="227"/>
        <w:jc w:val="both"/>
      </w:pPr>
      <w:r>
        <w:t>Na podstawie art. 18 ust. 2 pkt 15 i art. 40 ust. 1 i ust. 2 pkt 3 ustawy z dnia 8 marca 1990 r. o samorządzie gminnym (Dz. U. z 2025 r. poz. 1153, 1436) oraz art. 21 ust. 1 pkt 1 i ust. 2 ustawy z dnia 21 czerwca 2001 r. o ochronie praw lokatorów, mieszkaniowym zasobie gminy i o zmianie Kodeksu cywilnego (Dz. U. z 2023 r. poz. 725), Rada Miejska w Łodzi.</w:t>
      </w:r>
    </w:p>
    <w:p w14:paraId="35DABB64" w14:textId="77777777" w:rsidR="00A77B3E" w:rsidRDefault="00862C81">
      <w:pPr>
        <w:spacing w:before="120" w:after="120"/>
        <w:rPr>
          <w:b/>
        </w:rPr>
      </w:pPr>
      <w:r>
        <w:rPr>
          <w:b/>
        </w:rPr>
        <w:t>uchwala, co następuje:</w:t>
      </w:r>
    </w:p>
    <w:p w14:paraId="2353CBB0" w14:textId="77777777" w:rsidR="00A77B3E" w:rsidRDefault="00862C81">
      <w:pPr>
        <w:keepLines/>
        <w:spacing w:before="120" w:after="120"/>
        <w:ind w:firstLine="340"/>
        <w:jc w:val="both"/>
      </w:pPr>
      <w:r>
        <w:t>§ 1. W uchwale Nr XX/560/25 Rady Miejskiej w Łodzi z dnia 3 września 2025 r. w sprawie przyjęcia Wieloletniego programu gospodarowania mieszkaniowym zasobem Miasta Łodzi na lata 2025-2030 (Dz. Urz. Woj. Łódzkiego poz. 8835), wprowadza się następującą zmianę:</w:t>
      </w:r>
    </w:p>
    <w:p w14:paraId="60B9E90A" w14:textId="77777777" w:rsidR="00A77B3E" w:rsidRDefault="00862C81">
      <w:pPr>
        <w:keepLines/>
        <w:spacing w:before="120" w:after="120"/>
        <w:ind w:firstLine="340"/>
        <w:jc w:val="both"/>
      </w:pPr>
      <w:r>
        <w:t>§ 2. Otrzymuje brzmienie:</w:t>
      </w:r>
    </w:p>
    <w:p w14:paraId="572E171F" w14:textId="77777777" w:rsidR="00A77B3E" w:rsidRDefault="00862C81">
      <w:pPr>
        <w:keepNext/>
        <w:keepLines/>
        <w:ind w:left="680" w:hanging="113"/>
        <w:jc w:val="both"/>
      </w:pPr>
      <w:r>
        <w:t>„</w:t>
      </w:r>
      <w:r>
        <w:rPr>
          <w:caps/>
        </w:rPr>
        <w:t xml:space="preserve">DziałIX </w:t>
      </w:r>
      <w:r>
        <w:t>Usługi świadczone w ogólnym interesie gospodarczym Wieloletniego programu gospodarowania mieszkaniowym zasobem Miasta Łodzi na lata 2025-2030, zachowuje moc do dnia 31 grudnia 2038 r.”.</w:t>
      </w:r>
    </w:p>
    <w:p w14:paraId="1E39EF15" w14:textId="77777777" w:rsidR="00A77B3E" w:rsidRDefault="00862C81">
      <w:pPr>
        <w:keepLines/>
        <w:spacing w:before="120" w:after="120"/>
        <w:ind w:firstLine="340"/>
        <w:jc w:val="both"/>
      </w:pPr>
      <w:r>
        <w:t>§ 2. W Wieloletnim programie gospodarowania mieszkaniowym zasobem Miasta Łodzi na lata 2025-2030, stanowiącym załącznik do uchwały Nr XX/560/25 Rady Miejskiej w Łodzi z dnia 3 września 2025 r. w sprawie przyjęcia Wieloletniego programu gospodarowania mieszkaniowym zasobem Miasta Łodzi na lata 2025-2030 (Dz. Urz. Woj. Łódzkiego poz. 8835), wprowadza się następujące zmiany:</w:t>
      </w:r>
    </w:p>
    <w:p w14:paraId="2F95C4E8" w14:textId="77777777" w:rsidR="00A77B3E" w:rsidRDefault="00862C81">
      <w:pPr>
        <w:spacing w:before="120" w:after="120"/>
        <w:ind w:left="227" w:hanging="227"/>
        <w:jc w:val="both"/>
      </w:pPr>
      <w:r>
        <w:t>1) § 21 otrzymuje brzmienie:</w:t>
      </w:r>
    </w:p>
    <w:p w14:paraId="1FAFCEAD" w14:textId="77777777" w:rsidR="00A77B3E" w:rsidRDefault="00862C81">
      <w:pPr>
        <w:keepLines/>
        <w:spacing w:before="120" w:after="120"/>
        <w:ind w:firstLine="340"/>
        <w:jc w:val="both"/>
        <w:rPr>
          <w:color w:val="000000"/>
          <w:u w:color="000000"/>
        </w:rPr>
      </w:pPr>
      <w:r>
        <w:t>§ 21. 1. Okres powierzenia w zakresie:</w:t>
      </w:r>
    </w:p>
    <w:p w14:paraId="369886E2" w14:textId="77777777" w:rsidR="00A77B3E" w:rsidRDefault="00862C81">
      <w:pPr>
        <w:spacing w:before="120" w:after="120"/>
        <w:ind w:left="227" w:hanging="227"/>
        <w:jc w:val="both"/>
        <w:rPr>
          <w:color w:val="000000"/>
          <w:u w:color="000000"/>
        </w:rPr>
      </w:pPr>
      <w:r>
        <w:t>1) </w:t>
      </w:r>
      <w:r>
        <w:rPr>
          <w:color w:val="000000"/>
          <w:u w:color="000000"/>
        </w:rPr>
        <w:t>wskazanym w § 20 ust. 2 pkt 1: 1 stycznia 2017 r. – 31 grudnia 2028 r.;</w:t>
      </w:r>
    </w:p>
    <w:p w14:paraId="147B633F" w14:textId="77777777" w:rsidR="00A77B3E" w:rsidRDefault="00862C81">
      <w:pPr>
        <w:spacing w:before="120" w:after="120"/>
        <w:ind w:left="227" w:hanging="227"/>
        <w:jc w:val="both"/>
        <w:rPr>
          <w:color w:val="000000"/>
          <w:u w:color="000000"/>
        </w:rPr>
      </w:pPr>
      <w:r>
        <w:t>2) </w:t>
      </w:r>
      <w:r>
        <w:rPr>
          <w:color w:val="000000"/>
          <w:u w:color="000000"/>
        </w:rPr>
        <w:t>wskazanym w § 20 ust. 2 pkt 2: 1 stycznia 2026 r. – 31 grudnia 2038 r.</w:t>
      </w:r>
    </w:p>
    <w:p w14:paraId="5C9B24E0" w14:textId="77777777" w:rsidR="00A77B3E" w:rsidRDefault="00862C81">
      <w:pPr>
        <w:keepLines/>
        <w:spacing w:before="120" w:after="120"/>
        <w:ind w:firstLine="340"/>
        <w:jc w:val="both"/>
        <w:rPr>
          <w:color w:val="000000"/>
          <w:u w:color="000000"/>
        </w:rPr>
      </w:pPr>
      <w:r>
        <w:t>2. </w:t>
      </w:r>
      <w:r>
        <w:rPr>
          <w:color w:val="000000"/>
          <w:u w:color="000000"/>
        </w:rPr>
        <w:t>W zakres usług świadczonych w ogólnym interesie gospodarczym wchodzi przeprowadzenie działań inwestycyjnych, służących tworzeniu warunków do zaspokajania potrzeb mieszkaniowych wspólnoty samorządowej oraz zapewnienie dostępności mieszkań dla osób spełniających warunki kwalifikujące ich do korzystania z mieszkań komunalnych. Świadczenie usług w ogólnym interesie gospodarczym rozpoczyna się:</w:t>
      </w:r>
    </w:p>
    <w:p w14:paraId="46E2A008" w14:textId="77777777" w:rsidR="00A77B3E" w:rsidRDefault="00862C81">
      <w:pPr>
        <w:spacing w:before="120" w:after="120"/>
        <w:ind w:left="227" w:hanging="227"/>
        <w:jc w:val="both"/>
        <w:rPr>
          <w:color w:val="000000"/>
          <w:u w:color="000000"/>
        </w:rPr>
      </w:pPr>
      <w:r>
        <w:t>1) </w:t>
      </w:r>
      <w:r>
        <w:rPr>
          <w:color w:val="000000"/>
          <w:u w:color="000000"/>
        </w:rPr>
        <w:t>z chwilą rozpoczęcia realizacji projektów „Rewitalizacji Obszarowej Centrum Łodzi” 1-8 lub „Szlakiem Architektury Włókienniczej. Rewitalizacja Księżego Młyna”, tj. 1 stycznia 2017 r.;</w:t>
      </w:r>
    </w:p>
    <w:p w14:paraId="7F223A01" w14:textId="77777777" w:rsidR="00A77B3E" w:rsidRDefault="00862C81">
      <w:pPr>
        <w:spacing w:before="120" w:after="120"/>
        <w:ind w:left="227" w:hanging="227"/>
        <w:jc w:val="both"/>
        <w:rPr>
          <w:color w:val="000000"/>
          <w:u w:color="000000"/>
        </w:rPr>
      </w:pPr>
      <w:r>
        <w:lastRenderedPageBreak/>
        <w:t>2) </w:t>
      </w:r>
      <w:r>
        <w:rPr>
          <w:color w:val="000000"/>
          <w:u w:color="000000"/>
        </w:rPr>
        <w:t>z chwilą rozpoczęcia realizacji projektu „Rewitalizacji Obszarowej Centrum Łodzi” (projekt 9), tj. 1 stycznia 2026 r.</w:t>
      </w:r>
    </w:p>
    <w:p w14:paraId="5F18362B" w14:textId="77777777" w:rsidR="00A77B3E" w:rsidRDefault="00862C81">
      <w:pPr>
        <w:keepLines/>
        <w:spacing w:before="120" w:after="120"/>
        <w:ind w:firstLine="340"/>
        <w:jc w:val="both"/>
        <w:rPr>
          <w:color w:val="000000"/>
          <w:u w:color="000000"/>
        </w:rPr>
      </w:pPr>
      <w:r>
        <w:t>3. </w:t>
      </w:r>
      <w:r>
        <w:rPr>
          <w:color w:val="000000"/>
          <w:u w:color="000000"/>
        </w:rPr>
        <w:t>Jako moment zakończenia świadczenia usług w ogólnym interesie gospodarczym przyjmuje się:</w:t>
      </w:r>
    </w:p>
    <w:p w14:paraId="3EE2E890" w14:textId="77777777" w:rsidR="00A77B3E" w:rsidRDefault="00862C81">
      <w:pPr>
        <w:spacing w:before="120" w:after="120"/>
        <w:ind w:left="227" w:hanging="227"/>
        <w:jc w:val="both"/>
        <w:rPr>
          <w:color w:val="000000"/>
          <w:u w:color="000000"/>
        </w:rPr>
      </w:pPr>
      <w:r>
        <w:t>1) </w:t>
      </w:r>
      <w:r>
        <w:rPr>
          <w:color w:val="000000"/>
          <w:u w:color="000000"/>
        </w:rPr>
        <w:t>dla projektów „Rewitalizacji Obszarowej Centrum Łodzi” 1–8 oraz „Szlakiem Architektury Włókienniczej. Rewitalizacja Księżego Młyna”, zakończenie okresu trwałości tj. 31 grudnia 2028 r.;</w:t>
      </w:r>
    </w:p>
    <w:p w14:paraId="2200A718" w14:textId="77777777" w:rsidR="00A77B3E" w:rsidRDefault="00862C81">
      <w:pPr>
        <w:spacing w:before="120" w:after="120"/>
        <w:ind w:left="227" w:hanging="227"/>
        <w:jc w:val="both"/>
        <w:rPr>
          <w:color w:val="000000"/>
          <w:u w:color="000000"/>
        </w:rPr>
      </w:pPr>
      <w:r>
        <w:t>2) </w:t>
      </w:r>
      <w:r>
        <w:rPr>
          <w:color w:val="000000"/>
          <w:u w:color="000000"/>
        </w:rPr>
        <w:t>dla projektu „Rewitalizacja Obszarowej Centrum Łodzi" (projekt 9) - 31 grudnia 2038 r.</w:t>
      </w:r>
    </w:p>
    <w:p w14:paraId="0E1701D6" w14:textId="77777777" w:rsidR="00A77B3E" w:rsidRDefault="00862C81">
      <w:pPr>
        <w:keepLines/>
        <w:spacing w:before="120" w:after="120"/>
        <w:ind w:firstLine="340"/>
        <w:jc w:val="both"/>
        <w:rPr>
          <w:color w:val="000000"/>
          <w:u w:color="000000"/>
        </w:rPr>
      </w:pPr>
      <w:r>
        <w:t>4. </w:t>
      </w:r>
      <w:r>
        <w:rPr>
          <w:color w:val="000000"/>
          <w:u w:color="000000"/>
        </w:rPr>
        <w:t>W pierwszym kwartale 2028 roku dokonana zostanie weryfikacja tych ustaleń w odniesieniu do zakresu wskazanego w § 20 ust. 2 pkt 1 natomiast w drugim kwartale 2038 r. dokonana zostanie weryfikacja tych ustaleń w odniesieniu do zakresu wskazanego w § 20 ust. 2 pkt 2 i jeśli okres amortyzacji projektów nie zakończy się, okres świadczenia UOIG zostanie wydłużony. Weryfikacji dokonuje Prezydent Miasta Łodzi i po jej przeprowadzeniu, jeśli zajdzie konieczność wydłużenia okresu powierzenia, przedkłada stosowny projekt uchwały Radzie Miejskiej w Łodzi.</w:t>
      </w:r>
    </w:p>
    <w:p w14:paraId="23AE3879" w14:textId="77777777" w:rsidR="00A77B3E" w:rsidRDefault="00862C81">
      <w:pPr>
        <w:keepLines/>
        <w:spacing w:before="120" w:after="120"/>
        <w:ind w:firstLine="340"/>
        <w:jc w:val="both"/>
        <w:rPr>
          <w:color w:val="000000"/>
          <w:u w:color="000000"/>
        </w:rPr>
      </w:pPr>
      <w:r>
        <w:t>5. </w:t>
      </w:r>
      <w:r>
        <w:rPr>
          <w:color w:val="000000"/>
          <w:u w:color="000000"/>
        </w:rPr>
        <w:t>Ze względu na fakt, że z realizacją omawianych usług w ogólnym interesie gospodarczym wiąże się konieczność przeprowadzenia znacznych inwestycji, których okres amortyzacji przekracza 10 lat, uzasadnione jest, w świetle przepisów Decyzji UOIG świadczenie UOIG przez okres dłuższy, tj. minimum 12 lat, obejmujący okres realizacji inwestycji oraz okres amortyzacji projektów „Rewitalizacji Obszarowej Centrum Łodzi”,1–8, „Szlakiem Architektury Włókienniczej. Rewitalizacja Księżego Młyna” oraz „Rewitalizacji Obszarowej Centrum Łodzi" (projekt 9).”;</w:t>
      </w:r>
    </w:p>
    <w:p w14:paraId="6DB9499A" w14:textId="77777777" w:rsidR="00A77B3E" w:rsidRDefault="00862C81">
      <w:pPr>
        <w:spacing w:before="120" w:after="120"/>
        <w:ind w:left="227" w:hanging="227"/>
        <w:jc w:val="both"/>
        <w:rPr>
          <w:color w:val="000000"/>
          <w:u w:color="000000"/>
        </w:rPr>
      </w:pPr>
      <w:r>
        <w:t>2) </w:t>
      </w:r>
      <w:r>
        <w:rPr>
          <w:color w:val="000000"/>
          <w:u w:color="000000"/>
        </w:rPr>
        <w:t>§ 23 otrzymuje brzmienie:</w:t>
      </w:r>
    </w:p>
    <w:p w14:paraId="78499C5E" w14:textId="77777777" w:rsidR="00A77B3E" w:rsidRDefault="00862C81">
      <w:pPr>
        <w:keepLines/>
        <w:spacing w:before="120" w:after="120"/>
        <w:ind w:left="340" w:firstLine="227"/>
        <w:jc w:val="both"/>
        <w:rPr>
          <w:color w:val="000000"/>
          <w:u w:color="000000"/>
        </w:rPr>
      </w:pPr>
      <w:r>
        <w:t>„§ 23. 1. </w:t>
      </w:r>
      <w:r>
        <w:rPr>
          <w:color w:val="000000"/>
          <w:u w:color="000000"/>
        </w:rPr>
        <w:t>W celu określenia rozsądnego zysku zastosowano art. 5 ust. 7 Decyzji UOIG przyjmując maksymalny zwrot z kapitału jako:</w:t>
      </w:r>
    </w:p>
    <w:p w14:paraId="3B00B311" w14:textId="77777777" w:rsidR="00A77B3E" w:rsidRDefault="00862C81">
      <w:pPr>
        <w:spacing w:before="120" w:after="120"/>
        <w:ind w:left="567" w:hanging="227"/>
        <w:jc w:val="both"/>
        <w:rPr>
          <w:color w:val="000000"/>
          <w:u w:color="000000"/>
        </w:rPr>
      </w:pPr>
      <w:r>
        <w:t>1) </w:t>
      </w:r>
      <w:r>
        <w:rPr>
          <w:color w:val="000000"/>
          <w:u w:color="000000"/>
        </w:rPr>
        <w:t>3,29% (stopa SWAP obowiązująca w okresie od 1 lipca 2016 r. do 31 grudnia 2016 r. plus 100 punktów bazowych) w odniesieniu do zakresu wskazanego w § 20 ust. 2 pkt 1,.</w:t>
      </w:r>
    </w:p>
    <w:p w14:paraId="24E262D4" w14:textId="77777777" w:rsidR="00A77B3E" w:rsidRDefault="00862C81">
      <w:pPr>
        <w:spacing w:before="120" w:after="120"/>
        <w:ind w:left="567" w:hanging="227"/>
        <w:jc w:val="both"/>
        <w:rPr>
          <w:color w:val="000000"/>
          <w:u w:color="000000"/>
        </w:rPr>
      </w:pPr>
      <w:r>
        <w:t>2) </w:t>
      </w:r>
      <w:r>
        <w:rPr>
          <w:color w:val="000000"/>
          <w:u w:color="000000"/>
        </w:rPr>
        <w:t>6,73% (stopa SWAP obowiązująca w okresie od 1 stycznia 2025 r. plus 100 punktów bazowych) w odniesieniu do zakresu wskazanego w § 20 ust. 2 pkt 2 .</w:t>
      </w:r>
    </w:p>
    <w:p w14:paraId="1BF615B7" w14:textId="77777777" w:rsidR="00A77B3E" w:rsidRDefault="00862C81">
      <w:pPr>
        <w:keepLines/>
        <w:spacing w:before="120" w:after="120"/>
        <w:ind w:left="340" w:firstLine="340"/>
        <w:jc w:val="both"/>
        <w:rPr>
          <w:color w:val="000000"/>
          <w:u w:color="000000"/>
        </w:rPr>
      </w:pPr>
      <w:r>
        <w:t>2. </w:t>
      </w:r>
      <w:r>
        <w:rPr>
          <w:color w:val="000000"/>
          <w:u w:color="000000"/>
        </w:rPr>
        <w:t>Za wykonywanie powierzonych zadań Wykonawcy przysługuje rekompensata niezbędna do pokrycia kosztów netto, wynikających z wywiązywania się ze zobowiązań z tytułu świadczenia usług publicznych, z uwzględnieniem rozsądnego zysku. Wysokość przyznanej rekompensaty nie może prowadzić do przekroczenia wewnętrznej stopy zwrotu z zainwestowanego kapitału w całym okresie powierzenia w wysokości:</w:t>
      </w:r>
    </w:p>
    <w:p w14:paraId="4AABD7E2" w14:textId="77777777" w:rsidR="00A77B3E" w:rsidRDefault="00862C81">
      <w:pPr>
        <w:spacing w:before="120" w:after="120"/>
        <w:ind w:left="567" w:hanging="227"/>
        <w:jc w:val="both"/>
        <w:rPr>
          <w:color w:val="000000"/>
          <w:u w:color="000000"/>
        </w:rPr>
      </w:pPr>
      <w:r>
        <w:t>1) </w:t>
      </w:r>
      <w:r>
        <w:rPr>
          <w:color w:val="000000"/>
          <w:u w:color="000000"/>
        </w:rPr>
        <w:t>3,29% w odniesieniu do zakresu wskazanego w § 20 ust. 2 pkt 1</w:t>
      </w:r>
    </w:p>
    <w:p w14:paraId="3D85E11A" w14:textId="77777777" w:rsidR="00A77B3E" w:rsidRDefault="00862C81">
      <w:pPr>
        <w:spacing w:before="120" w:after="120"/>
        <w:ind w:left="567" w:hanging="227"/>
        <w:jc w:val="both"/>
        <w:rPr>
          <w:color w:val="000000"/>
          <w:u w:color="000000"/>
        </w:rPr>
      </w:pPr>
      <w:r>
        <w:t>2) </w:t>
      </w:r>
      <w:r>
        <w:rPr>
          <w:color w:val="000000"/>
          <w:u w:color="000000"/>
        </w:rPr>
        <w:t>6,73% w odniesieniu do zakresu wskazanego w § 20 ust. 2 pkt 2</w:t>
      </w:r>
      <w:r>
        <w:t>”;</w:t>
      </w:r>
    </w:p>
    <w:p w14:paraId="541980C7" w14:textId="77777777" w:rsidR="00A77B3E" w:rsidRDefault="00862C81">
      <w:pPr>
        <w:spacing w:before="120" w:after="120"/>
        <w:ind w:left="227" w:hanging="227"/>
        <w:jc w:val="both"/>
        <w:rPr>
          <w:color w:val="000000"/>
          <w:u w:color="000000"/>
        </w:rPr>
      </w:pPr>
      <w:r>
        <w:t>3) </w:t>
      </w:r>
      <w:r>
        <w:rPr>
          <w:color w:val="000000"/>
          <w:u w:color="000000"/>
        </w:rPr>
        <w:t>§ 24 ust. 1 otrzymuje brzmienie:</w:t>
      </w:r>
    </w:p>
    <w:p w14:paraId="716E466E" w14:textId="77777777" w:rsidR="00A77B3E" w:rsidRDefault="00862C81">
      <w:pPr>
        <w:keepLines/>
        <w:spacing w:before="120" w:after="120"/>
        <w:ind w:left="340" w:firstLine="227"/>
        <w:jc w:val="both"/>
        <w:rPr>
          <w:color w:val="000000"/>
          <w:u w:color="000000"/>
        </w:rPr>
      </w:pPr>
      <w:r>
        <w:t>„§ 24. 1. </w:t>
      </w:r>
      <w:r>
        <w:rPr>
          <w:color w:val="000000"/>
          <w:u w:color="000000"/>
        </w:rPr>
        <w:t>Do oceny, czy rekompensata za świadczenie usług publicznych nie jest nadmierna stosuje się wskaźnik wewnętrznej stopy zwrotu z zainwestowanego kapitału w całym okresie powierzenia, który nie może przekroczyć wartości:</w:t>
      </w:r>
    </w:p>
    <w:p w14:paraId="2E90D8A2" w14:textId="77777777" w:rsidR="00A77B3E" w:rsidRDefault="00862C81">
      <w:pPr>
        <w:spacing w:before="120" w:after="120"/>
        <w:ind w:left="567" w:hanging="227"/>
        <w:jc w:val="both"/>
        <w:rPr>
          <w:color w:val="000000"/>
          <w:u w:color="000000"/>
        </w:rPr>
      </w:pPr>
      <w:r>
        <w:t>1) </w:t>
      </w:r>
      <w:r>
        <w:rPr>
          <w:color w:val="000000"/>
          <w:u w:color="000000"/>
        </w:rPr>
        <w:t>3,29% w odniesieniu do zakresu wskazanego w § 20 ust. 2 pkt 1.</w:t>
      </w:r>
    </w:p>
    <w:p w14:paraId="05D37D45" w14:textId="77777777" w:rsidR="00A77B3E" w:rsidRDefault="00862C81">
      <w:pPr>
        <w:spacing w:before="120" w:after="120"/>
        <w:ind w:left="567" w:hanging="227"/>
        <w:jc w:val="both"/>
        <w:rPr>
          <w:color w:val="000000"/>
          <w:u w:color="000000"/>
        </w:rPr>
      </w:pPr>
      <w:r>
        <w:t>2) </w:t>
      </w:r>
      <w:r>
        <w:rPr>
          <w:color w:val="000000"/>
          <w:u w:color="000000"/>
        </w:rPr>
        <w:t>6,73% w odniesieniu do zakresu wskazanego w § 20 ust. 2 pkt 2.</w:t>
      </w:r>
      <w:r>
        <w:t>”.</w:t>
      </w:r>
    </w:p>
    <w:p w14:paraId="1D797F4F" w14:textId="77777777" w:rsidR="00A77B3E" w:rsidRDefault="00862C81">
      <w:pPr>
        <w:keepLines/>
        <w:spacing w:before="120" w:after="120"/>
        <w:ind w:firstLine="340"/>
        <w:jc w:val="both"/>
        <w:rPr>
          <w:color w:val="000000"/>
          <w:u w:color="000000"/>
        </w:rPr>
      </w:pPr>
      <w:r>
        <w:t>§ 3. </w:t>
      </w:r>
      <w:r>
        <w:rPr>
          <w:color w:val="000000"/>
          <w:u w:color="000000"/>
        </w:rPr>
        <w:t>Wykonanie uchwały powierza się Prezydentowi Miasta Łodzi.</w:t>
      </w:r>
    </w:p>
    <w:p w14:paraId="5915B8DD" w14:textId="77777777" w:rsidR="00A77B3E" w:rsidRDefault="00862C81">
      <w:pPr>
        <w:keepLines/>
        <w:spacing w:before="120" w:after="120"/>
        <w:ind w:firstLine="340"/>
        <w:jc w:val="both"/>
        <w:rPr>
          <w:color w:val="000000"/>
          <w:u w:color="000000"/>
        </w:rPr>
      </w:pPr>
      <w:r>
        <w:t>§ 4. </w:t>
      </w:r>
      <w:r>
        <w:rPr>
          <w:color w:val="000000"/>
          <w:u w:color="000000"/>
        </w:rPr>
        <w:t>Uchwała wchodzi w życie po upływie 14 dni od dnia ogłoszenia w Dzienniku Urzędowym Województwa Łódzkiego.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CA3E5F" w14:paraId="5D7CA51C" w14:textId="77777777">
        <w:tc>
          <w:tcPr>
            <w:tcW w:w="4635" w:type="dxa"/>
            <w:tcBorders>
              <w:top w:val="nil"/>
              <w:left w:val="nil"/>
              <w:bottom w:val="nil"/>
              <w:right w:val="nil"/>
            </w:tcBorders>
            <w:tcMar>
              <w:top w:w="100" w:type="dxa"/>
            </w:tcMar>
          </w:tcPr>
          <w:p w14:paraId="3161D4D9" w14:textId="77777777" w:rsidR="00A77B3E" w:rsidRDefault="00A77B3E">
            <w:pPr>
              <w:jc w:val="left"/>
              <w:rPr>
                <w:color w:val="000000"/>
                <w:u w:color="000000"/>
              </w:rPr>
            </w:pPr>
          </w:p>
        </w:tc>
        <w:tc>
          <w:tcPr>
            <w:tcW w:w="4635" w:type="dxa"/>
            <w:tcBorders>
              <w:top w:val="nil"/>
              <w:left w:val="nil"/>
              <w:bottom w:val="nil"/>
              <w:right w:val="nil"/>
            </w:tcBorders>
            <w:tcMar>
              <w:top w:w="100" w:type="dxa"/>
            </w:tcMar>
          </w:tcPr>
          <w:p w14:paraId="112F4527" w14:textId="77777777" w:rsidR="00A77B3E" w:rsidRDefault="00862C81">
            <w:pPr>
              <w:spacing w:before="520" w:after="520"/>
              <w:rPr>
                <w:color w:val="000000"/>
                <w:u w:color="000000"/>
              </w:rPr>
            </w:pPr>
            <w:r>
              <w:rPr>
                <w:b/>
                <w:color w:val="000000"/>
                <w:u w:color="000000"/>
              </w:rPr>
              <w:t>Przewodniczący</w:t>
            </w:r>
            <w:r>
              <w:rPr>
                <w:b/>
                <w:color w:val="000000"/>
                <w:u w:color="000000"/>
              </w:rPr>
              <w:br/>
              <w:t>Rady Miejskiej w Łodzi</w:t>
            </w:r>
            <w:r>
              <w:rPr>
                <w:color w:val="000000"/>
                <w:u w:color="000000"/>
              </w:rPr>
              <w:br/>
            </w:r>
            <w:r>
              <w:rPr>
                <w:color w:val="000000"/>
                <w:u w:color="000000"/>
              </w:rPr>
              <w:br/>
            </w:r>
            <w:r>
              <w:rPr>
                <w:color w:val="000000"/>
                <w:u w:color="000000"/>
              </w:rPr>
              <w:br/>
            </w:r>
            <w:r>
              <w:rPr>
                <w:b/>
                <w:color w:val="000000"/>
                <w:u w:color="000000"/>
              </w:rPr>
              <w:t>BARTOSZ DOMASZEWICZ</w:t>
            </w:r>
          </w:p>
        </w:tc>
      </w:tr>
    </w:tbl>
    <w:p w14:paraId="11D70901" w14:textId="77777777" w:rsidR="00A77B3E" w:rsidRDefault="00862C81">
      <w:pPr>
        <w:spacing w:before="120" w:after="120"/>
        <w:ind w:left="283" w:firstLine="227"/>
        <w:jc w:val="both"/>
        <w:rPr>
          <w:color w:val="000000"/>
          <w:u w:color="000000"/>
        </w:rPr>
      </w:pPr>
      <w:r>
        <w:rPr>
          <w:color w:val="000000"/>
          <w:u w:color="000000"/>
        </w:rPr>
        <w:t>Projektodawcą jest</w:t>
      </w:r>
    </w:p>
    <w:p w14:paraId="01811913" w14:textId="77777777" w:rsidR="00A77B3E" w:rsidRDefault="00862C81">
      <w:pPr>
        <w:spacing w:before="120" w:after="120"/>
        <w:ind w:left="283" w:firstLine="227"/>
        <w:jc w:val="both"/>
        <w:rPr>
          <w:color w:val="000000"/>
          <w:u w:color="000000"/>
        </w:rPr>
        <w:sectPr w:rsidR="00A77B3E">
          <w:footerReference w:type="default" r:id="rId6"/>
          <w:endnotePr>
            <w:numFmt w:val="decimal"/>
          </w:endnotePr>
          <w:pgSz w:w="11906" w:h="16838"/>
          <w:pgMar w:top="1417" w:right="1417" w:bottom="1417" w:left="1417" w:header="708" w:footer="708" w:gutter="0"/>
          <w:cols w:space="708"/>
          <w:docGrid w:linePitch="360"/>
        </w:sectPr>
      </w:pPr>
      <w:r>
        <w:rPr>
          <w:color w:val="000000"/>
          <w:u w:color="000000"/>
        </w:rPr>
        <w:t>Prezydent Miasta Łodzi</w:t>
      </w:r>
    </w:p>
    <w:p w14:paraId="50AB99BC" w14:textId="77777777" w:rsidR="00CA3E5F" w:rsidRDefault="00CA3E5F">
      <w:pPr>
        <w:jc w:val="left"/>
        <w:rPr>
          <w:color w:val="000000"/>
          <w:szCs w:val="20"/>
          <w:shd w:val="clear" w:color="auto" w:fill="FFFFFF"/>
          <w:lang w:val="x-none" w:eastAsia="en-US" w:bidi="ar-SA"/>
        </w:rPr>
      </w:pPr>
    </w:p>
    <w:p w14:paraId="6235A51A" w14:textId="77777777" w:rsidR="00CA3E5F" w:rsidRDefault="00862C81">
      <w:pPr>
        <w:spacing w:line="360" w:lineRule="auto"/>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14:paraId="3F0BB9A7" w14:textId="77777777" w:rsidR="00CA3E5F" w:rsidRDefault="00CA3E5F">
      <w:pPr>
        <w:spacing w:line="360" w:lineRule="auto"/>
        <w:rPr>
          <w:b/>
          <w:caps/>
          <w:color w:val="000000"/>
          <w:szCs w:val="20"/>
          <w:shd w:val="clear" w:color="auto" w:fill="FFFFFF"/>
          <w:lang w:val="x-none" w:eastAsia="en-US" w:bidi="ar-SA"/>
        </w:rPr>
      </w:pPr>
    </w:p>
    <w:p w14:paraId="3FDE0207" w14:textId="77777777" w:rsidR="00CA3E5F" w:rsidRDefault="00CA3E5F">
      <w:pPr>
        <w:spacing w:line="360" w:lineRule="auto"/>
        <w:rPr>
          <w:b/>
          <w:caps/>
          <w:color w:val="000000"/>
          <w:szCs w:val="20"/>
          <w:shd w:val="clear" w:color="auto" w:fill="FFFFFF"/>
          <w:lang w:val="x-none" w:eastAsia="en-US" w:bidi="ar-SA"/>
        </w:rPr>
      </w:pPr>
    </w:p>
    <w:p w14:paraId="43008F86" w14:textId="77777777" w:rsidR="00CA3E5F" w:rsidRDefault="00862C81">
      <w:pPr>
        <w:spacing w:line="360" w:lineRule="auto"/>
        <w:ind w:firstLine="720"/>
        <w:jc w:val="both"/>
        <w:rPr>
          <w:color w:val="000000"/>
          <w:szCs w:val="20"/>
          <w:shd w:val="clear" w:color="auto" w:fill="FFFFFF"/>
          <w:lang w:val="x-none" w:eastAsia="en-US" w:bidi="ar-SA"/>
        </w:rPr>
      </w:pPr>
      <w:r>
        <w:rPr>
          <w:color w:val="000000"/>
          <w:szCs w:val="20"/>
          <w:shd w:val="clear" w:color="auto" w:fill="FFFFFF"/>
          <w:lang w:val="x-none" w:eastAsia="en-US" w:bidi="ar-SA"/>
        </w:rPr>
        <w:t xml:space="preserve">Konieczność zmiany </w:t>
      </w:r>
      <w:r>
        <w:rPr>
          <w:color w:val="000000"/>
          <w:szCs w:val="20"/>
          <w:shd w:val="clear" w:color="auto" w:fill="FFFFFF"/>
        </w:rPr>
        <w:t xml:space="preserve">uchwały Nr XX/560/25 Rady Miejskiej w Łodzi z dnia 3 września 2025 r. w sprawie przyjęcia </w:t>
      </w:r>
      <w:r>
        <w:rPr>
          <w:color w:val="000000"/>
          <w:szCs w:val="20"/>
          <w:shd w:val="clear" w:color="auto" w:fill="FFFFFF"/>
          <w:lang w:val="x-none" w:eastAsia="en-US" w:bidi="ar-SA"/>
        </w:rPr>
        <w:t>Wieloletniego programu gospodarowania mieszkaniowym zasobem Miasta Łodzi na lata 2025-2030</w:t>
      </w:r>
      <w:r>
        <w:rPr>
          <w:color w:val="000000"/>
          <w:szCs w:val="20"/>
          <w:shd w:val="clear" w:color="auto" w:fill="FFFFFF"/>
        </w:rPr>
        <w:t xml:space="preserve"> (Dz. Urz. Woj. Łódzkiego poz. 8835)</w:t>
      </w:r>
      <w:r>
        <w:rPr>
          <w:color w:val="000000"/>
          <w:szCs w:val="20"/>
          <w:shd w:val="clear" w:color="auto" w:fill="FFFFFF"/>
          <w:lang w:val="x-none" w:eastAsia="en-US" w:bidi="ar-SA"/>
        </w:rPr>
        <w:t xml:space="preserve"> wynika z przygotowywania wniosku o dofinansowanie dla projektu „Rewitalizacja Obszarowa Centrum Łodzi" (Projekt 9).</w:t>
      </w:r>
      <w:r>
        <w:rPr>
          <w:color w:val="000000"/>
          <w:szCs w:val="20"/>
          <w:shd w:val="clear" w:color="auto" w:fill="FFFFFF"/>
        </w:rPr>
        <w:t xml:space="preserve"> </w:t>
      </w:r>
      <w:r>
        <w:rPr>
          <w:color w:val="000000"/>
          <w:szCs w:val="20"/>
          <w:shd w:val="clear" w:color="auto" w:fill="FFFFFF"/>
          <w:lang w:val="x-none" w:eastAsia="en-US" w:bidi="ar-SA"/>
        </w:rPr>
        <w:t>Zmiany dotyczą Działu IX Usług</w:t>
      </w:r>
      <w:r>
        <w:rPr>
          <w:color w:val="000000"/>
          <w:szCs w:val="20"/>
          <w:shd w:val="clear" w:color="auto" w:fill="FFFFFF"/>
        </w:rPr>
        <w:t>i</w:t>
      </w:r>
      <w:r>
        <w:rPr>
          <w:color w:val="000000"/>
          <w:szCs w:val="20"/>
          <w:shd w:val="clear" w:color="auto" w:fill="FFFFFF"/>
          <w:lang w:val="x-none" w:eastAsia="en-US" w:bidi="ar-SA"/>
        </w:rPr>
        <w:t xml:space="preserve"> świadczon</w:t>
      </w:r>
      <w:r>
        <w:rPr>
          <w:color w:val="000000"/>
          <w:szCs w:val="20"/>
          <w:shd w:val="clear" w:color="auto" w:fill="FFFFFF"/>
        </w:rPr>
        <w:t>e</w:t>
      </w:r>
      <w:r>
        <w:rPr>
          <w:color w:val="000000"/>
          <w:szCs w:val="20"/>
          <w:shd w:val="clear" w:color="auto" w:fill="FFFFFF"/>
          <w:lang w:val="x-none" w:eastAsia="en-US" w:bidi="ar-SA"/>
        </w:rPr>
        <w:t xml:space="preserve"> w ogólnym interesie gospodarczym w</w:t>
      </w:r>
      <w:r>
        <w:rPr>
          <w:color w:val="000000"/>
          <w:szCs w:val="20"/>
          <w:shd w:val="clear" w:color="auto" w:fill="FFFFFF"/>
        </w:rPr>
        <w:t xml:space="preserve"> Wieloletnim programie gospodarowania mieszkaniowym zasobem Miasta Łodzi na lata 2025-2030, </w:t>
      </w:r>
      <w:r>
        <w:rPr>
          <w:color w:val="000000"/>
          <w:szCs w:val="20"/>
          <w:shd w:val="clear" w:color="auto" w:fill="FFFFFF"/>
        </w:rPr>
        <w:br/>
        <w:t>a w</w:t>
      </w:r>
      <w:r>
        <w:rPr>
          <w:color w:val="000000"/>
          <w:szCs w:val="20"/>
          <w:shd w:val="clear" w:color="auto" w:fill="FFFFFF"/>
          <w:lang w:val="x-none" w:eastAsia="en-US" w:bidi="ar-SA"/>
        </w:rPr>
        <w:t xml:space="preserve"> szczególności:</w:t>
      </w:r>
    </w:p>
    <w:p w14:paraId="078EDE60" w14:textId="77777777" w:rsidR="00CA3E5F" w:rsidRDefault="00862C81">
      <w:pPr>
        <w:spacing w:line="360" w:lineRule="auto"/>
        <w:jc w:val="both"/>
        <w:rPr>
          <w:color w:val="000000"/>
          <w:szCs w:val="20"/>
          <w:shd w:val="clear" w:color="auto" w:fill="FFFFFF"/>
          <w:lang w:val="x-none" w:eastAsia="en-US" w:bidi="ar-SA"/>
        </w:rPr>
      </w:pPr>
      <w:r>
        <w:rPr>
          <w:color w:val="000000"/>
          <w:szCs w:val="20"/>
          <w:shd w:val="clear" w:color="auto" w:fill="FFFFFF"/>
        </w:rPr>
        <w:t xml:space="preserve">- </w:t>
      </w:r>
      <w:r>
        <w:rPr>
          <w:color w:val="000000"/>
          <w:szCs w:val="20"/>
          <w:shd w:val="clear" w:color="auto" w:fill="FFFFFF"/>
          <w:lang w:val="x-none" w:eastAsia="en-US" w:bidi="ar-SA"/>
        </w:rPr>
        <w:t xml:space="preserve">Okresu powierzenia świadczenia usług w ogólnym interesie gospodarczym - dla Projektu 9 - od </w:t>
      </w:r>
      <w:r>
        <w:rPr>
          <w:color w:val="000000"/>
          <w:szCs w:val="20"/>
          <w:shd w:val="clear" w:color="auto" w:fill="FFFFFF"/>
        </w:rPr>
        <w:br/>
      </w:r>
      <w:r>
        <w:rPr>
          <w:color w:val="000000"/>
          <w:szCs w:val="20"/>
          <w:shd w:val="clear" w:color="auto" w:fill="FFFFFF"/>
          <w:lang w:val="x-none" w:eastAsia="en-US" w:bidi="ar-SA"/>
        </w:rPr>
        <w:t>1 stycznia 2026 do 31 grudnia 2038.</w:t>
      </w:r>
    </w:p>
    <w:p w14:paraId="0EF5C26C" w14:textId="77777777" w:rsidR="00CA3E5F" w:rsidRDefault="00862C81">
      <w:pPr>
        <w:spacing w:line="360" w:lineRule="auto"/>
        <w:jc w:val="both"/>
        <w:rPr>
          <w:color w:val="000000"/>
          <w:szCs w:val="20"/>
          <w:shd w:val="clear" w:color="auto" w:fill="FFFFFF"/>
          <w:lang w:val="x-none" w:eastAsia="en-US" w:bidi="ar-SA"/>
        </w:rPr>
      </w:pPr>
      <w:r>
        <w:rPr>
          <w:color w:val="000000"/>
          <w:szCs w:val="20"/>
          <w:shd w:val="clear" w:color="auto" w:fill="FFFFFF"/>
        </w:rPr>
        <w:t xml:space="preserve">- </w:t>
      </w:r>
      <w:r>
        <w:rPr>
          <w:color w:val="000000"/>
          <w:szCs w:val="20"/>
          <w:shd w:val="clear" w:color="auto" w:fill="FFFFFF"/>
          <w:lang w:val="x-none" w:eastAsia="en-US" w:bidi="ar-SA"/>
        </w:rPr>
        <w:t>Zastosowanie innej stopy SWAP w rozliczeniach wewnętrznej stopy zwrotu z zainwestowanego kapitału w całym okresie powierzenia niż dla dotychczasowych projektów, tj. 6, 73% (stopa SWAP obowiązująca w okresie od 1 stycznia 2025 r. plus 100 punktów bazowych)</w:t>
      </w:r>
      <w:r>
        <w:rPr>
          <w:color w:val="000000"/>
          <w:szCs w:val="20"/>
          <w:shd w:val="clear" w:color="auto" w:fill="FFFFFF"/>
        </w:rPr>
        <w:t>.</w:t>
      </w:r>
    </w:p>
    <w:p w14:paraId="05306FE5" w14:textId="77777777" w:rsidR="00CA3E5F" w:rsidRDefault="00862C81">
      <w:pPr>
        <w:spacing w:line="360" w:lineRule="auto"/>
        <w:ind w:firstLine="720"/>
        <w:jc w:val="both"/>
        <w:rPr>
          <w:color w:val="000000"/>
          <w:szCs w:val="20"/>
          <w:shd w:val="clear" w:color="auto" w:fill="FFFFFF"/>
          <w:lang w:val="x-none" w:eastAsia="en-US" w:bidi="ar-SA"/>
        </w:rPr>
      </w:pPr>
      <w:r>
        <w:rPr>
          <w:color w:val="000000"/>
          <w:szCs w:val="20"/>
          <w:shd w:val="clear" w:color="auto" w:fill="FFFFFF"/>
          <w:lang w:val="x-none" w:eastAsia="en-US" w:bidi="ar-SA"/>
        </w:rPr>
        <w:t>Celem zmian jest zapewnienie spójności modelu finansowego przygotowanego dla</w:t>
      </w:r>
      <w:r>
        <w:rPr>
          <w:color w:val="000000"/>
          <w:szCs w:val="20"/>
          <w:shd w:val="clear" w:color="auto" w:fill="FFFFFF"/>
        </w:rPr>
        <w:t xml:space="preserve"> wymienionego</w:t>
      </w:r>
      <w:r>
        <w:rPr>
          <w:color w:val="000000"/>
          <w:szCs w:val="20"/>
          <w:shd w:val="clear" w:color="auto" w:fill="FFFFFF"/>
          <w:lang w:val="x-none" w:eastAsia="en-US" w:bidi="ar-SA"/>
        </w:rPr>
        <w:t xml:space="preserve"> Projektu z zapisami uchwały.</w:t>
      </w:r>
    </w:p>
    <w:p w14:paraId="2E4162AF" w14:textId="77777777" w:rsidR="00CA3E5F" w:rsidRDefault="00CA3E5F">
      <w:pPr>
        <w:spacing w:line="360" w:lineRule="auto"/>
        <w:jc w:val="left"/>
        <w:rPr>
          <w:color w:val="000000"/>
          <w:szCs w:val="20"/>
          <w:shd w:val="clear" w:color="auto" w:fill="FFFFFF"/>
          <w:lang w:val="x-none" w:eastAsia="en-US" w:bidi="ar-SA"/>
        </w:rPr>
      </w:pPr>
    </w:p>
    <w:sectPr w:rsidR="00CA3E5F">
      <w:footerReference w:type="default" r:id="rId7"/>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9DBEF" w14:textId="77777777" w:rsidR="00862C81" w:rsidRDefault="00862C81">
      <w:r>
        <w:separator/>
      </w:r>
    </w:p>
  </w:endnote>
  <w:endnote w:type="continuationSeparator" w:id="0">
    <w:p w14:paraId="64AE44B7" w14:textId="77777777" w:rsidR="00862C81" w:rsidRDefault="0086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024"/>
    </w:tblGrid>
    <w:tr w:rsidR="00CA3E5F" w14:paraId="23385EC9" w14:textId="77777777">
      <w:tc>
        <w:tcPr>
          <w:tcW w:w="6048" w:type="dxa"/>
          <w:tcBorders>
            <w:top w:val="single" w:sz="2" w:space="0" w:color="auto"/>
            <w:left w:val="nil"/>
            <w:bottom w:val="nil"/>
            <w:right w:val="nil"/>
          </w:tcBorders>
          <w:tcMar>
            <w:top w:w="100" w:type="dxa"/>
          </w:tcMar>
        </w:tcPr>
        <w:p w14:paraId="0DEA2F56" w14:textId="77777777" w:rsidR="00CA3E5F" w:rsidRDefault="00862C81">
          <w:pPr>
            <w:jc w:val="left"/>
            <w:rPr>
              <w:sz w:val="18"/>
            </w:rPr>
          </w:pPr>
          <w:r>
            <w:rPr>
              <w:sz w:val="18"/>
            </w:rPr>
            <w:t>Id: E8F46D1B-2683-4939-A356-A73BA356C41D. Projekt</w:t>
          </w:r>
        </w:p>
      </w:tc>
      <w:tc>
        <w:tcPr>
          <w:tcW w:w="3024" w:type="dxa"/>
          <w:tcBorders>
            <w:top w:val="single" w:sz="2" w:space="0" w:color="auto"/>
            <w:left w:val="nil"/>
            <w:bottom w:val="nil"/>
            <w:right w:val="nil"/>
          </w:tcBorders>
          <w:tcMar>
            <w:top w:w="100" w:type="dxa"/>
          </w:tcMar>
        </w:tcPr>
        <w:p w14:paraId="6C26AFEF" w14:textId="77777777" w:rsidR="00CA3E5F" w:rsidRDefault="00862C81">
          <w:pPr>
            <w:jc w:val="right"/>
            <w:rPr>
              <w:sz w:val="18"/>
            </w:rPr>
          </w:pPr>
          <w:r>
            <w:rPr>
              <w:sz w:val="18"/>
            </w:rPr>
            <w:t xml:space="preserve">Strona </w:t>
          </w:r>
          <w:r>
            <w:rPr>
              <w:sz w:val="18"/>
            </w:rPr>
            <w:fldChar w:fldCharType="begin"/>
          </w:r>
          <w:r>
            <w:rPr>
              <w:sz w:val="18"/>
            </w:rPr>
            <w:instrText>PAGE</w:instrText>
          </w:r>
          <w:r>
            <w:rPr>
              <w:sz w:val="18"/>
            </w:rPr>
            <w:fldChar w:fldCharType="separate"/>
          </w:r>
          <w:r w:rsidR="00812767">
            <w:rPr>
              <w:noProof/>
              <w:sz w:val="18"/>
            </w:rPr>
            <w:t>1</w:t>
          </w:r>
          <w:r>
            <w:rPr>
              <w:sz w:val="18"/>
            </w:rPr>
            <w:fldChar w:fldCharType="end"/>
          </w:r>
        </w:p>
      </w:tc>
    </w:tr>
  </w:tbl>
  <w:p w14:paraId="4498FB58" w14:textId="77777777" w:rsidR="00CA3E5F" w:rsidRDefault="00CA3E5F">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3"/>
      <w:gridCol w:w="3202"/>
    </w:tblGrid>
    <w:tr w:rsidR="00CA3E5F" w14:paraId="60723F67" w14:textId="77777777">
      <w:tc>
        <w:tcPr>
          <w:tcW w:w="6403" w:type="dxa"/>
          <w:tcBorders>
            <w:top w:val="single" w:sz="2" w:space="0" w:color="auto"/>
            <w:left w:val="nil"/>
            <w:bottom w:val="nil"/>
            <w:right w:val="nil"/>
          </w:tcBorders>
          <w:tcMar>
            <w:top w:w="100" w:type="dxa"/>
          </w:tcMar>
        </w:tcPr>
        <w:p w14:paraId="619A236F" w14:textId="77777777" w:rsidR="00CA3E5F" w:rsidRDefault="00862C81">
          <w:pPr>
            <w:jc w:val="left"/>
            <w:rPr>
              <w:sz w:val="18"/>
            </w:rPr>
          </w:pPr>
          <w:r>
            <w:rPr>
              <w:sz w:val="18"/>
            </w:rPr>
            <w:t>Id: E8F46D1B-2683-4939-A356-A73BA356C41D. Projekt</w:t>
          </w:r>
        </w:p>
      </w:tc>
      <w:tc>
        <w:tcPr>
          <w:tcW w:w="3202" w:type="dxa"/>
          <w:tcBorders>
            <w:top w:val="single" w:sz="2" w:space="0" w:color="auto"/>
            <w:left w:val="nil"/>
            <w:bottom w:val="nil"/>
            <w:right w:val="nil"/>
          </w:tcBorders>
          <w:tcMar>
            <w:top w:w="100" w:type="dxa"/>
          </w:tcMar>
        </w:tcPr>
        <w:p w14:paraId="714E35C8" w14:textId="21AF3D12" w:rsidR="00CA3E5F" w:rsidRDefault="00862C81">
          <w:pPr>
            <w:jc w:val="right"/>
            <w:rPr>
              <w:sz w:val="18"/>
            </w:rPr>
          </w:pPr>
          <w:r>
            <w:rPr>
              <w:sz w:val="18"/>
            </w:rPr>
            <w:t xml:space="preserve">Strona </w:t>
          </w:r>
          <w:r>
            <w:rPr>
              <w:sz w:val="18"/>
            </w:rPr>
            <w:fldChar w:fldCharType="begin"/>
          </w:r>
          <w:r>
            <w:rPr>
              <w:sz w:val="18"/>
            </w:rPr>
            <w:instrText>PAGE</w:instrText>
          </w:r>
          <w:r>
            <w:rPr>
              <w:sz w:val="18"/>
            </w:rPr>
            <w:fldChar w:fldCharType="separate"/>
          </w:r>
          <w:r w:rsidR="00812767">
            <w:rPr>
              <w:noProof/>
              <w:sz w:val="18"/>
            </w:rPr>
            <w:t>4</w:t>
          </w:r>
          <w:r>
            <w:rPr>
              <w:sz w:val="18"/>
            </w:rPr>
            <w:fldChar w:fldCharType="end"/>
          </w:r>
        </w:p>
      </w:tc>
    </w:tr>
  </w:tbl>
  <w:p w14:paraId="19F7351A" w14:textId="77777777" w:rsidR="00CA3E5F" w:rsidRDefault="00CA3E5F">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64B98" w14:textId="77777777" w:rsidR="00862C81" w:rsidRDefault="00862C81">
      <w:r>
        <w:separator/>
      </w:r>
    </w:p>
  </w:footnote>
  <w:footnote w:type="continuationSeparator" w:id="0">
    <w:p w14:paraId="47AD14D1" w14:textId="77777777" w:rsidR="00862C81" w:rsidRDefault="00862C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812767"/>
    <w:rsid w:val="00862C81"/>
    <w:rsid w:val="00A77B3E"/>
    <w:rsid w:val="00BB206B"/>
    <w:rsid w:val="00CA2A55"/>
    <w:rsid w:val="00CA3E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14420"/>
  <w15:docId w15:val="{40377CC2-0532-438D-BAF7-52B1E2041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center"/>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979</Words>
  <Characters>5669</Characters>
  <Application>Microsoft Office Word</Application>
  <DocSecurity>0</DocSecurity>
  <Lines>47</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vt:lpstr>
      <vt:lpstr/>
    </vt:vector>
  </TitlesOfParts>
  <Company>Rada Miejska w Łodzi</Company>
  <LinksUpToDate>false</LinksUpToDate>
  <CharactersWithSpaces>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zmieniająca uchwałę w sprawie przyjęcia Wieloletniego programu gospodarowania mieszkaniowym zasobem Miasta Łodzi na lata 2025-2030.</dc:subject>
  <dc:creator>ababik</dc:creator>
  <cp:lastModifiedBy>Violetta Gandziarska</cp:lastModifiedBy>
  <cp:revision>2</cp:revision>
  <dcterms:created xsi:type="dcterms:W3CDTF">2025-11-17T11:53:00Z</dcterms:created>
  <dcterms:modified xsi:type="dcterms:W3CDTF">2025-11-17T11:53:00Z</dcterms:modified>
  <cp:category>Akt prawny</cp:category>
</cp:coreProperties>
</file>