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ind w:left="6236"/>
        <w:jc w:val="left"/>
        <w:rPr>
          <w:b/>
          <w:i/>
          <w:u w:val="thick"/>
        </w:rPr>
      </w:pPr>
    </w:p>
    <w:p w:rsidR="00A77B3E" w:rsidRDefault="00A77B3E">
      <w:pPr>
        <w:ind w:left="6236"/>
        <w:jc w:val="left"/>
        <w:rPr>
          <w:b/>
          <w:i/>
          <w:u w:val="thick"/>
        </w:rPr>
      </w:pPr>
    </w:p>
    <w:p w:rsidR="00A77B3E" w:rsidRDefault="004E7132" w:rsidP="00B37C46">
      <w:pPr>
        <w:ind w:left="5954"/>
        <w:jc w:val="left"/>
      </w:pPr>
      <w:bookmarkStart w:id="0" w:name="_GoBack"/>
      <w:r>
        <w:t>Druk Nr</w:t>
      </w:r>
      <w:r w:rsidR="00B37C46">
        <w:t xml:space="preserve"> 291/2025</w:t>
      </w:r>
    </w:p>
    <w:p w:rsidR="00A77B3E" w:rsidRDefault="004E7132" w:rsidP="00B37C46">
      <w:pPr>
        <w:ind w:left="5954"/>
        <w:jc w:val="left"/>
      </w:pPr>
      <w:r>
        <w:t>Projekt z dnia</w:t>
      </w:r>
      <w:r w:rsidR="00B37C46">
        <w:t xml:space="preserve"> 4 grudnia 2025 r.</w:t>
      </w:r>
    </w:p>
    <w:bookmarkEnd w:id="0"/>
    <w:p w:rsidR="00A77B3E" w:rsidRDefault="00A77B3E">
      <w:pPr>
        <w:ind w:left="6236"/>
        <w:jc w:val="left"/>
      </w:pPr>
    </w:p>
    <w:p w:rsidR="00A77B3E" w:rsidRDefault="004E7132">
      <w:pPr>
        <w:rPr>
          <w:b/>
          <w:caps/>
        </w:rPr>
      </w:pPr>
      <w:r>
        <w:rPr>
          <w:b/>
          <w:caps/>
        </w:rPr>
        <w:t>Uchwała nr                     </w:t>
      </w:r>
      <w:r>
        <w:rPr>
          <w:b/>
          <w:caps/>
        </w:rPr>
        <w:br/>
        <w:t>Rady Miejskiej w Łodzi</w:t>
      </w:r>
    </w:p>
    <w:p w:rsidR="00A77B3E" w:rsidRDefault="004E7132">
      <w:pPr>
        <w:spacing w:after="240"/>
        <w:rPr>
          <w:b/>
          <w:caps/>
        </w:rPr>
      </w:pPr>
      <w:r>
        <w:rPr>
          <w:b/>
        </w:rPr>
        <w:t>z dnia                      2025 r.</w:t>
      </w:r>
    </w:p>
    <w:p w:rsidR="00A77B3E" w:rsidRDefault="004E7132">
      <w:pPr>
        <w:keepNext/>
        <w:spacing w:after="240"/>
      </w:pPr>
      <w:r>
        <w:rPr>
          <w:b/>
        </w:rPr>
        <w:t>w sprawie oceny sytuacji ekonomiczno-finansowej</w:t>
      </w:r>
      <w:r>
        <w:rPr>
          <w:b/>
        </w:rPr>
        <w:br/>
        <w:t>samodzielnego publicznego zakładu opieki zdrowotnej o nazwie Miejskie Centrum Medyczne „Widzew” w Łodzi, na podstawie raportu o sytuacji</w:t>
      </w:r>
      <w:r>
        <w:rPr>
          <w:b/>
        </w:rPr>
        <w:br/>
        <w:t>ekonomiczno-finansowej za rok 2024.</w:t>
      </w:r>
    </w:p>
    <w:p w:rsidR="00A77B3E" w:rsidRDefault="004E7132">
      <w:pPr>
        <w:keepLines/>
        <w:spacing w:before="120" w:after="120"/>
        <w:ind w:firstLine="567"/>
        <w:jc w:val="both"/>
      </w:pPr>
      <w:r>
        <w:t>Na podstawie art. 18 ust. 2 pkt 15 ustawy z dnia 8 marca 1990 r. o samorządzie gminnym (Dz. U. z 2025 r. poz. 1153 i 1436) oraz art. 53a ust. 4 ustawy z dnia 15 kwietnia 2011 r. o działalności leczniczej (Dz. U. z 2025 r. poz. 450, 620, 637 i 1211), Rada Miejska w Łodzi</w:t>
      </w:r>
    </w:p>
    <w:p w:rsidR="00A77B3E" w:rsidRDefault="004E7132">
      <w:pPr>
        <w:spacing w:before="120" w:after="120"/>
        <w:rPr>
          <w:b/>
        </w:rPr>
      </w:pPr>
      <w:r>
        <w:rPr>
          <w:b/>
        </w:rPr>
        <w:t>uchwala, co następuje:</w:t>
      </w:r>
    </w:p>
    <w:p w:rsidR="00A77B3E" w:rsidRDefault="004E7132">
      <w:pPr>
        <w:keepLines/>
        <w:spacing w:before="240" w:after="120"/>
        <w:ind w:firstLine="567"/>
        <w:jc w:val="both"/>
      </w:pPr>
      <w:r>
        <w:t>§ 1. Dokonuje się oceny sytuacji ekonomiczno-finansowej samodzielnego publicznego zakładu opieki zdrowotnej o nazwie Miejskie Centrum Medyczne „Widzew” w Łodzi,</w:t>
      </w:r>
      <w:r>
        <w:br/>
        <w:t>na podstawie raportu o sytuacji ekonomiczno-finansowej za rok 2024, w brzmieniu stanowiącym załącznik do uchwały.</w:t>
      </w:r>
    </w:p>
    <w:p w:rsidR="00A77B3E" w:rsidRDefault="004E7132">
      <w:pPr>
        <w:keepLines/>
        <w:spacing w:before="240" w:after="120"/>
        <w:ind w:firstLine="567"/>
        <w:jc w:val="both"/>
      </w:pPr>
      <w:r>
        <w:t>§ 2. Wykonanie uchwały powierza się Prezydentowi Miasta Łodzi.</w:t>
      </w:r>
    </w:p>
    <w:p w:rsidR="00A77B3E" w:rsidRDefault="004E7132">
      <w:pPr>
        <w:keepNext/>
        <w:keepLines/>
        <w:spacing w:before="240" w:after="120"/>
        <w:ind w:firstLine="567"/>
        <w:jc w:val="both"/>
      </w:pPr>
      <w:r>
        <w:t>§ 3. Uchwała wchodzi w życie z dniem podjęcia.</w:t>
      </w:r>
    </w:p>
    <w:tbl>
      <w:tblPr>
        <w:tblW w:w="5000" w:type="pct"/>
        <w:tblCellMar>
          <w:left w:w="0" w:type="dxa"/>
          <w:right w:w="0" w:type="dxa"/>
        </w:tblCellMar>
        <w:tblLook w:val="04A0" w:firstRow="1" w:lastRow="0" w:firstColumn="1" w:lastColumn="0" w:noHBand="0" w:noVBand="1"/>
      </w:tblPr>
      <w:tblGrid>
        <w:gridCol w:w="4536"/>
        <w:gridCol w:w="4536"/>
      </w:tblGrid>
      <w:tr w:rsidR="00B91C8A">
        <w:tc>
          <w:tcPr>
            <w:tcW w:w="2500" w:type="pct"/>
            <w:tcMar>
              <w:top w:w="0" w:type="dxa"/>
              <w:left w:w="0" w:type="dxa"/>
              <w:bottom w:w="0" w:type="dxa"/>
              <w:right w:w="0" w:type="dxa"/>
            </w:tcMar>
            <w:hideMark/>
          </w:tcPr>
          <w:p w:rsidR="00B91C8A" w:rsidRDefault="00B91C8A">
            <w:pPr>
              <w:keepLines/>
              <w:jc w:val="left"/>
              <w:rPr>
                <w:color w:val="000000"/>
              </w:rPr>
            </w:pPr>
          </w:p>
        </w:tc>
        <w:tc>
          <w:tcPr>
            <w:tcW w:w="2500" w:type="pct"/>
            <w:tcMar>
              <w:top w:w="0" w:type="dxa"/>
              <w:left w:w="0" w:type="dxa"/>
              <w:bottom w:w="0" w:type="dxa"/>
              <w:right w:w="0" w:type="dxa"/>
            </w:tcMar>
            <w:hideMark/>
          </w:tcPr>
          <w:p w:rsidR="00B91C8A" w:rsidRDefault="004E7132">
            <w:pPr>
              <w:keepLines/>
              <w:spacing w:before="520" w:after="520"/>
              <w:ind w:left="567" w:right="567"/>
              <w:rPr>
                <w:color w:val="000000"/>
              </w:rPr>
            </w:pPr>
            <w:r>
              <w:rPr>
                <w:b/>
                <w:color w:val="000000"/>
              </w:rPr>
              <w:t>Przewodniczący</w:t>
            </w:r>
            <w:r>
              <w:rPr>
                <w:b/>
                <w:color w:val="000000"/>
              </w:rPr>
              <w:br/>
              <w:t>Rady Miejskiej w Łodzi</w:t>
            </w:r>
            <w:r>
              <w:rPr>
                <w:color w:val="000000"/>
              </w:rPr>
              <w:br/>
            </w:r>
            <w:r>
              <w:rPr>
                <w:color w:val="000000"/>
              </w:rPr>
              <w:br/>
            </w:r>
            <w:r>
              <w:rPr>
                <w:color w:val="000000"/>
              </w:rPr>
              <w:br/>
            </w:r>
            <w:r>
              <w:rPr>
                <w:b/>
              </w:rPr>
              <w:t>Bartosz^DOMASZEWICZ</w:t>
            </w:r>
          </w:p>
        </w:tc>
      </w:tr>
    </w:tbl>
    <w:p w:rsidR="00A77B3E" w:rsidRDefault="004E7132">
      <w:pPr>
        <w:spacing w:before="120" w:after="120"/>
        <w:ind w:left="283" w:firstLine="227"/>
        <w:jc w:val="both"/>
      </w:pPr>
      <w:r>
        <w:t>Projektodawcą jest</w:t>
      </w:r>
    </w:p>
    <w:p w:rsidR="00A77B3E" w:rsidRDefault="004E7132">
      <w:pPr>
        <w:spacing w:before="120" w:after="120"/>
        <w:ind w:left="283" w:firstLine="227"/>
        <w:jc w:val="both"/>
      </w:pPr>
      <w:r>
        <w:t>Prezydent Miasta Łodzi</w:t>
      </w:r>
    </w:p>
    <w:p w:rsidR="00A77B3E" w:rsidRDefault="00A77B3E">
      <w:pPr>
        <w:spacing w:before="120" w:after="120"/>
        <w:ind w:left="283" w:firstLine="227"/>
        <w:jc w:val="both"/>
        <w:sectPr w:rsidR="00A77B3E">
          <w:footerReference w:type="default" r:id="rId7"/>
          <w:endnotePr>
            <w:numFmt w:val="decimal"/>
          </w:endnotePr>
          <w:pgSz w:w="11906" w:h="16838"/>
          <w:pgMar w:top="1417" w:right="1417" w:bottom="1417" w:left="1417" w:header="708" w:footer="708" w:gutter="0"/>
          <w:cols w:space="708"/>
          <w:docGrid w:linePitch="360"/>
        </w:sectPr>
      </w:pPr>
    </w:p>
    <w:p w:rsidR="00B91C8A" w:rsidRDefault="004E7132">
      <w:pPr>
        <w:keepNext/>
        <w:spacing w:before="240" w:after="60"/>
        <w:ind w:left="5700"/>
        <w:jc w:val="left"/>
        <w:outlineLvl w:val="0"/>
        <w:rPr>
          <w:szCs w:val="20"/>
          <w:lang w:eastAsia="en-US" w:bidi="ar-SA"/>
        </w:rPr>
      </w:pPr>
      <w:r>
        <w:rPr>
          <w:szCs w:val="20"/>
          <w:lang w:eastAsia="en-US" w:bidi="ar-SA"/>
        </w:rPr>
        <w:lastRenderedPageBreak/>
        <w:t>Załącznik</w:t>
      </w:r>
      <w:r>
        <w:rPr>
          <w:szCs w:val="20"/>
          <w:lang w:eastAsia="en-US" w:bidi="ar-SA"/>
        </w:rPr>
        <w:br/>
        <w:t xml:space="preserve">do uchwały Nr </w:t>
      </w:r>
      <w:r>
        <w:rPr>
          <w:szCs w:val="20"/>
          <w:lang w:eastAsia="en-US" w:bidi="ar-SA"/>
        </w:rPr>
        <w:br/>
        <w:t>Rady Miejskiej w Łodzi</w:t>
      </w:r>
      <w:r>
        <w:rPr>
          <w:szCs w:val="20"/>
          <w:lang w:eastAsia="en-US" w:bidi="ar-SA"/>
        </w:rPr>
        <w:br/>
        <w:t xml:space="preserve">z dnia </w:t>
      </w:r>
    </w:p>
    <w:p w:rsidR="00B91C8A" w:rsidRDefault="00B91C8A">
      <w:pPr>
        <w:keepNext/>
        <w:spacing w:before="240" w:after="60"/>
        <w:outlineLvl w:val="0"/>
        <w:rPr>
          <w:b/>
          <w:szCs w:val="20"/>
          <w:lang w:eastAsia="en-US" w:bidi="ar-SA"/>
        </w:rPr>
      </w:pPr>
    </w:p>
    <w:p w:rsidR="00B91C8A" w:rsidRDefault="004E7132">
      <w:pPr>
        <w:keepNext/>
        <w:spacing w:before="240" w:after="60"/>
        <w:outlineLvl w:val="0"/>
        <w:rPr>
          <w:b/>
          <w:szCs w:val="20"/>
          <w:lang w:eastAsia="en-US" w:bidi="ar-SA"/>
        </w:rPr>
      </w:pPr>
      <w:r>
        <w:rPr>
          <w:b/>
          <w:szCs w:val="20"/>
          <w:lang w:eastAsia="en-US" w:bidi="ar-SA"/>
        </w:rPr>
        <w:t xml:space="preserve">Ocena sytuacji ekonomiczno-finansowej </w:t>
      </w:r>
      <w:r>
        <w:rPr>
          <w:b/>
          <w:szCs w:val="20"/>
          <w:lang w:eastAsia="en-US" w:bidi="ar-SA"/>
        </w:rPr>
        <w:br/>
        <w:t xml:space="preserve">Miejskiego Centrum Medycznego „Widzew” w Łodzi </w:t>
      </w:r>
      <w:r>
        <w:rPr>
          <w:b/>
          <w:szCs w:val="20"/>
          <w:lang w:eastAsia="en-US" w:bidi="ar-SA"/>
        </w:rPr>
        <w:br/>
        <w:t>na podstawie raportu o sytuacji ekonomiczno-finansowej za rok 2024.</w:t>
      </w:r>
    </w:p>
    <w:p w:rsidR="00B91C8A" w:rsidRDefault="004E7132">
      <w:pPr>
        <w:tabs>
          <w:tab w:val="left" w:pos="284"/>
          <w:tab w:val="left" w:pos="360"/>
        </w:tabs>
        <w:spacing w:before="240" w:after="200" w:line="276" w:lineRule="auto"/>
        <w:jc w:val="both"/>
        <w:rPr>
          <w:color w:val="000000"/>
          <w:szCs w:val="20"/>
          <w:shd w:val="clear" w:color="auto" w:fill="FFFFFF"/>
          <w:lang w:eastAsia="en-US" w:bidi="ar-SA"/>
        </w:rPr>
      </w:pPr>
      <w:r>
        <w:rPr>
          <w:color w:val="000000"/>
          <w:szCs w:val="20"/>
          <w:shd w:val="clear" w:color="auto" w:fill="FFFFFF"/>
          <w:lang w:eastAsia="en-US" w:bidi="ar-SA"/>
        </w:rPr>
        <w:t>Miejskie Centrum Medyczne „Widzew” w Łodzi, zwane dalej również MCM „Widzew” w Łodzi, jednostka lub Centrum, przedstawiło raport prezentujący sytuację ekonomiczno-finansową jednostki w roku obrotowym 2024 oraz prognozę na kolejne trzy lata</w:t>
      </w:r>
      <w:r>
        <w:rPr>
          <w:color w:val="000000"/>
          <w:szCs w:val="20"/>
          <w:shd w:val="clear" w:color="auto" w:fill="FFFFFF"/>
        </w:rPr>
        <w:t>,</w:t>
      </w:r>
      <w:r>
        <w:rPr>
          <w:color w:val="000000"/>
          <w:szCs w:val="20"/>
          <w:shd w:val="clear" w:color="auto" w:fill="FFFFFF"/>
          <w:lang w:eastAsia="en-US" w:bidi="ar-SA"/>
        </w:rPr>
        <w:t xml:space="preserve"> tj. 2025-2027. Dokument przygotowano na podstawie ustawy z dnia 15 kwietnia 2011 r. o działalności leczniczej (Dz. U. z 2025 r. poz.</w:t>
      </w:r>
      <w:r>
        <w:rPr>
          <w:color w:val="000000"/>
          <w:szCs w:val="20"/>
          <w:shd w:val="clear" w:color="auto" w:fill="FFFFFF"/>
        </w:rPr>
        <w:t xml:space="preserve"> </w:t>
      </w:r>
      <w:r>
        <w:rPr>
          <w:color w:val="000000"/>
          <w:szCs w:val="20"/>
          <w:shd w:val="clear" w:color="auto" w:fill="FFFFFF"/>
          <w:lang w:eastAsia="en-US" w:bidi="ar-SA"/>
        </w:rPr>
        <w:t>450, z późn. zm.) oraz w oparciu o rozporządzenie Ministra Zdrowia z dnia 12 kwietnia 2017 r. w sprawie wskaźników ekonomiczno-finansowych niezbędnych do sporządzenia analizy oraz prognozy sytuacji ekonomiczno-finansowej samodzielnych publicznych zakładów opieki zdrowotnej (Dz. U. poz. 832), które określa:</w:t>
      </w:r>
    </w:p>
    <w:p w:rsidR="00B91C8A" w:rsidRDefault="004E7132">
      <w:pPr>
        <w:numPr>
          <w:ilvl w:val="0"/>
          <w:numId w:val="1"/>
        </w:numPr>
        <w:tabs>
          <w:tab w:val="left" w:pos="360"/>
        </w:tabs>
        <w:spacing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Wskaźniki ekonomiczno-finansowe i sposób ich obliczania, dotyczące następujących aspektów sytuacji finansowej jednostki:</w:t>
      </w:r>
    </w:p>
    <w:p w:rsidR="00B91C8A" w:rsidRDefault="004E7132">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zyskowności</w:t>
      </w:r>
      <w:r>
        <w:rPr>
          <w:color w:val="000000"/>
          <w:szCs w:val="20"/>
          <w:shd w:val="clear" w:color="auto" w:fill="FFFFFF"/>
        </w:rPr>
        <w:t>,</w:t>
      </w:r>
      <w:r>
        <w:rPr>
          <w:color w:val="000000"/>
          <w:szCs w:val="20"/>
          <w:shd w:val="clear" w:color="auto" w:fill="FFFFFF"/>
          <w:lang w:eastAsia="en-US" w:bidi="ar-SA"/>
        </w:rPr>
        <w:t xml:space="preserve"> tj. zdolności jednostki do generowania zysków,</w:t>
      </w:r>
    </w:p>
    <w:p w:rsidR="00B91C8A" w:rsidRDefault="004E7132">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płynności finansowej</w:t>
      </w:r>
      <w:r>
        <w:rPr>
          <w:color w:val="000000"/>
          <w:szCs w:val="20"/>
          <w:shd w:val="clear" w:color="auto" w:fill="FFFFFF"/>
        </w:rPr>
        <w:t>,</w:t>
      </w:r>
      <w:r>
        <w:rPr>
          <w:color w:val="000000"/>
          <w:szCs w:val="20"/>
          <w:shd w:val="clear" w:color="auto" w:fill="FFFFFF"/>
          <w:lang w:eastAsia="en-US" w:bidi="ar-SA"/>
        </w:rPr>
        <w:t xml:space="preserve"> tj. zdolności jednostki do terminowego regulowania zaciągniętych zobowiązań krótkoterminowych,</w:t>
      </w:r>
    </w:p>
    <w:p w:rsidR="00B91C8A" w:rsidRDefault="004E7132">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efektywności zarządzania przepływami finansowymi,</w:t>
      </w:r>
    </w:p>
    <w:p w:rsidR="00B91C8A" w:rsidRDefault="004E7132">
      <w:pPr>
        <w:numPr>
          <w:ilvl w:val="0"/>
          <w:numId w:val="2"/>
        </w:num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zadłużenia</w:t>
      </w:r>
      <w:r>
        <w:rPr>
          <w:color w:val="000000"/>
          <w:szCs w:val="20"/>
          <w:shd w:val="clear" w:color="auto" w:fill="FFFFFF"/>
        </w:rPr>
        <w:t>,</w:t>
      </w:r>
      <w:r>
        <w:rPr>
          <w:color w:val="000000"/>
          <w:szCs w:val="20"/>
          <w:shd w:val="clear" w:color="auto" w:fill="FFFFFF"/>
          <w:lang w:eastAsia="en-US" w:bidi="ar-SA"/>
        </w:rPr>
        <w:t xml:space="preserve"> tj. stopnia finansowania aktywów kapitałami obcymi.</w:t>
      </w:r>
    </w:p>
    <w:p w:rsidR="00B91C8A" w:rsidRDefault="004E7132">
      <w:pPr>
        <w:spacing w:before="240"/>
        <w:jc w:val="both"/>
        <w:rPr>
          <w:b/>
          <w:color w:val="000000"/>
          <w:szCs w:val="20"/>
          <w:shd w:val="clear" w:color="auto" w:fill="FFFFFF"/>
          <w:lang w:eastAsia="en-US" w:bidi="ar-SA"/>
        </w:rPr>
      </w:pPr>
      <w:r>
        <w:rPr>
          <w:b/>
          <w:color w:val="000000"/>
          <w:szCs w:val="20"/>
          <w:shd w:val="clear" w:color="auto" w:fill="FFFFFF"/>
          <w:lang w:eastAsia="en-US" w:bidi="ar-SA"/>
        </w:rPr>
        <w:t>Metodologia obliczania wskaźników na podstawie rozporządzenia Ministra Zdrowia</w:t>
      </w:r>
    </w:p>
    <w:p w:rsidR="00B91C8A" w:rsidRDefault="004E7132">
      <w:pPr>
        <w:numPr>
          <w:ilvl w:val="0"/>
          <w:numId w:val="3"/>
        </w:numPr>
        <w:tabs>
          <w:tab w:val="left" w:pos="360"/>
        </w:tabs>
        <w:spacing w:before="24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zyskowności</w:t>
      </w:r>
      <w:r>
        <w:rPr>
          <w:color w:val="000000"/>
          <w:szCs w:val="20"/>
          <w:shd w:val="clear" w:color="auto" w:fill="FFFFFF"/>
          <w:lang w:eastAsia="en-US" w:bidi="ar-SA"/>
        </w:rPr>
        <w:t xml:space="preserve"> – określają zdolność podmiotu do generowania zysków, a zatem ekonomiczną efektywność działalności. Dodatnie wartości wskaźników informują </w:t>
      </w:r>
      <w:r>
        <w:rPr>
          <w:color w:val="000000"/>
          <w:szCs w:val="20"/>
          <w:shd w:val="clear" w:color="auto" w:fill="FFFFFF"/>
          <w:lang w:eastAsia="en-US" w:bidi="ar-SA"/>
        </w:rPr>
        <w:br/>
        <w:t>o racjonalnym gospodarowaniu, gdzie przychody podmiotu przewyższają koszty.</w:t>
      </w:r>
    </w:p>
    <w:p w:rsidR="00B91C8A" w:rsidRDefault="004E7132">
      <w:pPr>
        <w:spacing w:before="240"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netto (%) =</w:t>
      </w:r>
      <w:r>
        <w:rPr>
          <w:i/>
          <w:color w:val="000000"/>
          <w:szCs w:val="20"/>
          <w:shd w:val="clear" w:color="auto" w:fill="FFFFFF"/>
          <w:lang w:eastAsia="en-US" w:bidi="ar-SA"/>
        </w:rPr>
        <w:t xml:space="preserve"> wynik netto x 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 + przychody finansowe</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netto</w:t>
      </w:r>
      <w:r>
        <w:rPr>
          <w:color w:val="000000"/>
          <w:szCs w:val="20"/>
          <w:shd w:val="clear" w:color="auto" w:fill="FFFFFF"/>
          <w:lang w:eastAsia="en-US" w:bidi="ar-SA"/>
        </w:rPr>
        <w:t>: poniżej 0,0% ocena 0; od 0,0% do 2,0% ocena 3; powyżej 2,0% do 4,0% ocena 4; powyżej 4% ocena 5.</w:t>
      </w:r>
    </w:p>
    <w:p w:rsidR="00B91C8A" w:rsidRDefault="004E7132">
      <w:pPr>
        <w:spacing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zyskowności działalności operacyjnej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z działalności operacyjnej x100%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 + pozostałe przychody operacyjne</w:t>
      </w:r>
    </w:p>
    <w:p w:rsidR="00B91C8A" w:rsidRDefault="004E7132">
      <w:pPr>
        <w:tabs>
          <w:tab w:val="left" w:pos="360"/>
        </w:tabs>
        <w:spacing w:before="240"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działalności operacyjnej</w:t>
      </w:r>
      <w:r>
        <w:rPr>
          <w:color w:val="000000"/>
          <w:szCs w:val="20"/>
          <w:shd w:val="clear" w:color="auto" w:fill="FFFFFF"/>
          <w:lang w:eastAsia="en-US" w:bidi="ar-SA"/>
        </w:rPr>
        <w:t xml:space="preserve">: poniżej 0,0% </w:t>
      </w:r>
      <w:r>
        <w:rPr>
          <w:color w:val="000000"/>
          <w:szCs w:val="20"/>
          <w:shd w:val="clear" w:color="auto" w:fill="FFFFFF"/>
          <w:lang w:eastAsia="en-US" w:bidi="ar-SA"/>
        </w:rPr>
        <w:br/>
        <w:t>ocena 0; od 0,0% do 3,0% ocena 3; powyżej 3,0% do 5,0% ocena 4; powyżej 5% ocena 5.</w:t>
      </w:r>
    </w:p>
    <w:p w:rsidR="00B91C8A" w:rsidRDefault="00B91C8A">
      <w:pPr>
        <w:tabs>
          <w:tab w:val="left" w:pos="360"/>
        </w:tabs>
        <w:spacing w:before="240" w:after="200" w:line="276" w:lineRule="auto"/>
        <w:jc w:val="both"/>
        <w:rPr>
          <w:color w:val="000000"/>
          <w:szCs w:val="20"/>
          <w:shd w:val="clear" w:color="auto" w:fill="FFFFFF"/>
          <w:lang w:eastAsia="en-US" w:bidi="ar-SA"/>
        </w:rPr>
      </w:pPr>
    </w:p>
    <w:p w:rsidR="00B91C8A" w:rsidRDefault="004E7132">
      <w:pPr>
        <w:spacing w:after="200" w:line="276" w:lineRule="auto"/>
        <w:ind w:left="426"/>
        <w:jc w:val="left"/>
        <w:rPr>
          <w:i/>
          <w:color w:val="000000"/>
          <w:szCs w:val="20"/>
          <w:shd w:val="clear" w:color="auto" w:fill="FFFFFF"/>
          <w:lang w:eastAsia="en-US" w:bidi="ar-SA"/>
        </w:rPr>
      </w:pPr>
      <w:r>
        <w:rPr>
          <w:color w:val="000000"/>
          <w:szCs w:val="20"/>
          <w:u w:val="single"/>
          <w:shd w:val="clear" w:color="auto" w:fill="FFFFFF"/>
          <w:lang w:eastAsia="en-US" w:bidi="ar-SA"/>
        </w:rPr>
        <w:t>wskaźnik zyskowności aktywów (%) =</w:t>
      </w:r>
      <w:r>
        <w:rPr>
          <w:color w:val="000000"/>
          <w:szCs w:val="20"/>
          <w:shd w:val="clear" w:color="auto" w:fill="FFFFFF"/>
          <w:lang w:eastAsia="en-US" w:bidi="ar-SA"/>
        </w:rPr>
        <w:t xml:space="preserve"> </w:t>
      </w:r>
      <w:r>
        <w:rPr>
          <w:i/>
          <w:color w:val="000000"/>
          <w:szCs w:val="20"/>
          <w:shd w:val="clear" w:color="auto" w:fill="FFFFFF"/>
          <w:lang w:eastAsia="en-US" w:bidi="ar-SA"/>
        </w:rPr>
        <w:t xml:space="preserve">wynik netto x 100% </w:t>
      </w:r>
      <w:r>
        <w:rPr>
          <w:b/>
          <w:i/>
          <w:color w:val="000000"/>
          <w:szCs w:val="20"/>
          <w:shd w:val="clear" w:color="auto" w:fill="FFFFFF"/>
          <w:lang w:eastAsia="en-US" w:bidi="ar-SA"/>
        </w:rPr>
        <w:t>/</w:t>
      </w:r>
      <w:r>
        <w:rPr>
          <w:i/>
          <w:color w:val="000000"/>
          <w:szCs w:val="20"/>
          <w:shd w:val="clear" w:color="auto" w:fill="FFFFFF"/>
          <w:lang w:eastAsia="en-US" w:bidi="ar-SA"/>
        </w:rPr>
        <w:t xml:space="preserve"> średni stan aktywów</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zyskowności aktywów</w:t>
      </w:r>
      <w:r>
        <w:rPr>
          <w:color w:val="000000"/>
          <w:szCs w:val="20"/>
          <w:shd w:val="clear" w:color="auto" w:fill="FFFFFF"/>
          <w:lang w:eastAsia="en-US" w:bidi="ar-SA"/>
        </w:rPr>
        <w:t>: poniżej 0,0% ocena 0; od 0,0% do 2,0% ocena 3; powyżej 2,0% do 4,0% ocena 4; powyżej 4% ocena 5.</w:t>
      </w:r>
    </w:p>
    <w:p w:rsidR="00B91C8A" w:rsidRDefault="004E7132">
      <w:pPr>
        <w:numPr>
          <w:ilvl w:val="0"/>
          <w:numId w:val="3"/>
        </w:numPr>
        <w:tabs>
          <w:tab w:val="left" w:pos="360"/>
        </w:tabs>
        <w:spacing w:after="200" w:line="276" w:lineRule="auto"/>
        <w:ind w:left="285" w:hanging="285"/>
        <w:jc w:val="both"/>
        <w:rPr>
          <w:color w:val="000000"/>
          <w:szCs w:val="20"/>
          <w:u w:val="single"/>
          <w:shd w:val="clear" w:color="auto" w:fill="FFFFFF"/>
          <w:lang w:eastAsia="en-US" w:bidi="ar-SA"/>
        </w:rPr>
      </w:pPr>
      <w:r>
        <w:rPr>
          <w:color w:val="000000"/>
          <w:szCs w:val="20"/>
          <w:u w:val="single"/>
          <w:shd w:val="clear" w:color="auto" w:fill="FFFFFF"/>
          <w:lang w:eastAsia="en-US" w:bidi="ar-SA"/>
        </w:rPr>
        <w:t>Wskaźniki płynności</w:t>
      </w:r>
      <w:r>
        <w:rPr>
          <w:color w:val="000000"/>
          <w:szCs w:val="20"/>
          <w:shd w:val="clear" w:color="auto" w:fill="FFFFFF"/>
          <w:lang w:eastAsia="en-US" w:bidi="ar-SA"/>
        </w:rPr>
        <w:t xml:space="preserve"> – określają zdolność podmiotu do terminowego regulowania zaciągniętych zobowiązań krótkoterminowych. Jeżeli poziom wskaźników obniża się, to występuje ryzyko utraty przez podmiot zdolności do terminowego regulowania zobowiązań. W przypadku</w:t>
      </w:r>
      <w:r>
        <w:rPr>
          <w:color w:val="000000"/>
          <w:szCs w:val="20"/>
          <w:shd w:val="clear" w:color="auto" w:fill="FFFFFF"/>
        </w:rPr>
        <w:t>,</w:t>
      </w:r>
      <w:r>
        <w:rPr>
          <w:color w:val="000000"/>
          <w:szCs w:val="20"/>
          <w:shd w:val="clear" w:color="auto" w:fill="FFFFFF"/>
          <w:lang w:eastAsia="en-US" w:bidi="ar-SA"/>
        </w:rPr>
        <w:t xml:space="preserve"> gdy wskaźniki są zbyt wysokie, może to świadczyć o nieefektywnym gospodarowaniu posiadanymi środkami obrotowymi.</w:t>
      </w:r>
    </w:p>
    <w:p w:rsidR="00B91C8A" w:rsidRDefault="004E7132">
      <w:pPr>
        <w:tabs>
          <w:tab w:val="left" w:pos="360"/>
        </w:tabs>
        <w:spacing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bieżącej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w:t>
      </w:r>
      <w:r>
        <w:rPr>
          <w:b/>
          <w:i/>
          <w:color w:val="000000"/>
          <w:szCs w:val="20"/>
          <w:shd w:val="clear" w:color="auto" w:fill="FFFFFF"/>
          <w:lang w:eastAsia="en-US" w:bidi="ar-SA"/>
        </w:rPr>
        <w:t xml:space="preserve">/ </w:t>
      </w:r>
      <w:r>
        <w:rPr>
          <w:i/>
          <w:color w:val="000000"/>
          <w:szCs w:val="20"/>
          <w:shd w:val="clear" w:color="auto" w:fill="FFFFFF"/>
          <w:lang w:eastAsia="en-US" w:bidi="ar-SA"/>
        </w:rPr>
        <w:t>zobowiązania krótkoterminowe – zobowiązania z tytułu dostaw i usług, o okresie wymagalności powyżej 12 miesięcy + rezerwy na zobowiązania krótkoterminowe</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bieżącej płynności</w:t>
      </w:r>
      <w:r>
        <w:rPr>
          <w:color w:val="000000"/>
          <w:szCs w:val="20"/>
          <w:shd w:val="clear" w:color="auto" w:fill="FFFFFF"/>
          <w:lang w:eastAsia="en-US" w:bidi="ar-SA"/>
        </w:rPr>
        <w:t>: poniżej 0,60 ocena 0; od 0,60 do 1,00 ocena 4; powyżej 1,00 do 1,50 ocena 8; powyżej 1,50 do 3,00 ocena 12; powyżej 3,00 lub jeżeli zobowiązania krótkoterminowe = 0 zł ocena 10.</w:t>
      </w:r>
    </w:p>
    <w:p w:rsidR="00B91C8A" w:rsidRDefault="004E7132">
      <w:pPr>
        <w:tabs>
          <w:tab w:val="left" w:pos="360"/>
        </w:tabs>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szybkiej płynności =</w:t>
      </w:r>
      <w:r>
        <w:rPr>
          <w:color w:val="000000"/>
          <w:szCs w:val="20"/>
          <w:shd w:val="clear" w:color="auto" w:fill="FFFFFF"/>
          <w:lang w:eastAsia="en-US" w:bidi="ar-SA"/>
        </w:rPr>
        <w:t xml:space="preserve"> </w:t>
      </w:r>
      <w:r>
        <w:rPr>
          <w:i/>
          <w:color w:val="000000"/>
          <w:szCs w:val="20"/>
          <w:shd w:val="clear" w:color="auto" w:fill="FFFFFF"/>
          <w:lang w:eastAsia="en-US" w:bidi="ar-SA"/>
        </w:rPr>
        <w:t xml:space="preserve">aktywa obrotowe – należności krótkoterminowe z tytułu dostaw i usług, o okresie spłaty powyżej 12 miesięcy – krótkoterminowe rozliczenia międzyokresowe (czynne) – zapasy </w:t>
      </w:r>
      <w:r>
        <w:rPr>
          <w:b/>
          <w:i/>
          <w:color w:val="000000"/>
          <w:szCs w:val="20"/>
          <w:shd w:val="clear" w:color="auto" w:fill="FFFFFF"/>
          <w:lang w:eastAsia="en-US" w:bidi="ar-SA"/>
        </w:rPr>
        <w:t>/</w:t>
      </w:r>
      <w:r>
        <w:rPr>
          <w:i/>
          <w:color w:val="000000"/>
          <w:szCs w:val="20"/>
          <w:shd w:val="clear" w:color="auto" w:fill="FFFFFF"/>
          <w:lang w:eastAsia="en-US" w:bidi="ar-SA"/>
        </w:rPr>
        <w:t xml:space="preserve"> zobowiązania krótkoterminowe – zobowiązania z tytułu dostaw i usług, o okresie wymagalności powyżej 12 miesięcy + rezerwy na zobowiązania krótkoterminowe</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szybkiej płynności</w:t>
      </w:r>
      <w:r>
        <w:rPr>
          <w:color w:val="000000"/>
          <w:szCs w:val="20"/>
          <w:shd w:val="clear" w:color="auto" w:fill="FFFFFF"/>
          <w:lang w:eastAsia="en-US" w:bidi="ar-SA"/>
        </w:rPr>
        <w:t>: poniżej 0,50 ocena 0; od 0,50 do 1,00 ocena 8; powyżej 1,00 do 2,50 ocena 13; powyżej 2,50 lub jeżeli zobowiązania krótkoterminowe = 0 zł ocena 10.</w:t>
      </w:r>
    </w:p>
    <w:p w:rsidR="00B91C8A" w:rsidRDefault="004E7132">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efektywności</w:t>
      </w:r>
      <w:r>
        <w:rPr>
          <w:color w:val="000000"/>
          <w:szCs w:val="20"/>
          <w:shd w:val="clear" w:color="auto" w:fill="FFFFFF"/>
          <w:lang w:eastAsia="en-US" w:bidi="ar-SA"/>
        </w:rPr>
        <w:t xml:space="preserve"> – wskaźniki rotacji należności i zobowiązań opisują efektywność przyjętej polityki zarządzania przepływami pieniężnymi, tzn. mogą sygnalizować ryzyko utraty płynności finansowej przez jednostkę lub w przypadku gdy wskaźniki płynności finansowej już wyraźnie wskazują na brak płynności – określają przyczyny tych problemów. </w:t>
      </w:r>
    </w:p>
    <w:p w:rsidR="00B91C8A" w:rsidRDefault="004E7132">
      <w:pPr>
        <w:spacing w:after="200" w:line="276" w:lineRule="auto"/>
        <w:ind w:left="360"/>
        <w:jc w:val="both"/>
        <w:rPr>
          <w:i/>
          <w:color w:val="000000"/>
          <w:szCs w:val="20"/>
          <w:shd w:val="clear" w:color="auto" w:fill="FFFFFF"/>
          <w:lang w:eastAsia="en-US" w:bidi="ar-SA"/>
        </w:rPr>
      </w:pPr>
      <w:r>
        <w:rPr>
          <w:color w:val="000000"/>
          <w:szCs w:val="20"/>
          <w:u w:val="single"/>
          <w:shd w:val="clear" w:color="auto" w:fill="FFFFFF"/>
          <w:lang w:eastAsia="en-US" w:bidi="ar-SA"/>
        </w:rPr>
        <w:t>wskaźnik rotacji należności (w dniach)  =</w:t>
      </w:r>
      <w:r>
        <w:rPr>
          <w:i/>
          <w:color w:val="000000"/>
          <w:szCs w:val="20"/>
          <w:shd w:val="clear" w:color="auto" w:fill="FFFFFF"/>
          <w:lang w:eastAsia="en-US" w:bidi="ar-SA"/>
        </w:rPr>
        <w:t xml:space="preserve"> średni stan należności z tytułu dostaw i usług </w:t>
      </w:r>
      <w:r>
        <w:rPr>
          <w:i/>
          <w:color w:val="000000"/>
          <w:szCs w:val="20"/>
          <w:shd w:val="clear" w:color="auto" w:fill="FFFFFF"/>
          <w:lang w:eastAsia="en-US" w:bidi="ar-SA"/>
        </w:rPr>
        <w:br/>
        <w:t xml:space="preserve">x liczba dni w okresie (365)* </w:t>
      </w:r>
      <w:r>
        <w:rPr>
          <w:b/>
          <w:i/>
          <w:color w:val="000000"/>
          <w:szCs w:val="20"/>
          <w:shd w:val="clear" w:color="auto" w:fill="FFFFFF"/>
          <w:lang w:eastAsia="en-US" w:bidi="ar-SA"/>
        </w:rPr>
        <w:t xml:space="preserve">/ </w:t>
      </w:r>
      <w:r>
        <w:rPr>
          <w:i/>
          <w:color w:val="000000"/>
          <w:szCs w:val="20"/>
          <w:shd w:val="clear" w:color="auto" w:fill="FFFFFF"/>
          <w:lang w:eastAsia="en-US" w:bidi="ar-SA"/>
        </w:rPr>
        <w:t>przychody netto ze sprzedaży produktów + przychody netto ze sprzedaży towarów i materiałów</w:t>
      </w:r>
    </w:p>
    <w:p w:rsidR="00B91C8A" w:rsidRDefault="004E7132">
      <w:pPr>
        <w:spacing w:after="200" w:line="276" w:lineRule="auto"/>
        <w:jc w:val="both"/>
        <w:rPr>
          <w:i/>
          <w:color w:val="000000"/>
          <w:szCs w:val="20"/>
          <w:shd w:val="clear" w:color="auto" w:fill="FFFFFF"/>
          <w:lang w:eastAsia="en-US" w:bidi="ar-SA"/>
        </w:rPr>
      </w:pPr>
      <w:r>
        <w:rPr>
          <w:i/>
          <w:color w:val="000000"/>
          <w:szCs w:val="20"/>
          <w:shd w:val="clear" w:color="auto" w:fill="FFFFFF"/>
          <w:lang w:eastAsia="en-US" w:bidi="ar-SA"/>
        </w:rPr>
        <w:t>*średni stan należności z tytułu dostaw i usług to suma tych należności na koniec poprzedniego roku obrotowego i na koniec bieżącego roku obrotowego podzielona przez 2.</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należności</w:t>
      </w:r>
      <w:r>
        <w:rPr>
          <w:color w:val="000000"/>
          <w:szCs w:val="20"/>
          <w:shd w:val="clear" w:color="auto" w:fill="FFFFFF"/>
          <w:lang w:eastAsia="en-US" w:bidi="ar-SA"/>
        </w:rPr>
        <w:t xml:space="preserve">: poniżej 45 dni ocena 3; od 45 dnia </w:t>
      </w:r>
      <w:r>
        <w:rPr>
          <w:color w:val="000000"/>
          <w:szCs w:val="20"/>
          <w:shd w:val="clear" w:color="auto" w:fill="FFFFFF"/>
          <w:lang w:eastAsia="en-US" w:bidi="ar-SA"/>
        </w:rPr>
        <w:br/>
        <w:t>do 60 dni ocena 2; od 61 dnia do 90 dni ocena 1; powyżej 90 dnia ocena 0.</w:t>
      </w:r>
    </w:p>
    <w:p w:rsidR="00B91C8A" w:rsidRDefault="00B91C8A">
      <w:pPr>
        <w:tabs>
          <w:tab w:val="left" w:pos="360"/>
        </w:tabs>
        <w:spacing w:after="200" w:line="276" w:lineRule="auto"/>
        <w:jc w:val="both"/>
        <w:rPr>
          <w:color w:val="000000"/>
          <w:szCs w:val="20"/>
          <w:shd w:val="clear" w:color="auto" w:fill="FFFFFF"/>
          <w:lang w:eastAsia="en-US" w:bidi="ar-SA"/>
        </w:rPr>
      </w:pPr>
    </w:p>
    <w:p w:rsidR="00B91C8A" w:rsidRDefault="004E7132">
      <w:pPr>
        <w:spacing w:after="200" w:line="276" w:lineRule="auto"/>
        <w:ind w:left="426"/>
        <w:jc w:val="both"/>
        <w:rPr>
          <w:i/>
          <w:color w:val="000000"/>
          <w:szCs w:val="20"/>
          <w:shd w:val="clear" w:color="auto" w:fill="FFFFFF"/>
          <w:lang w:eastAsia="en-US" w:bidi="ar-SA"/>
        </w:rPr>
      </w:pPr>
      <w:r>
        <w:rPr>
          <w:color w:val="000000"/>
          <w:szCs w:val="20"/>
          <w:u w:val="single"/>
          <w:shd w:val="clear" w:color="auto" w:fill="FFFFFF"/>
          <w:lang w:eastAsia="en-US" w:bidi="ar-SA"/>
        </w:rPr>
        <w:t>wskaźnik rotacji zobowiązań (w dniach)  =</w:t>
      </w:r>
      <w:r>
        <w:rPr>
          <w:color w:val="000000"/>
          <w:szCs w:val="20"/>
          <w:shd w:val="clear" w:color="auto" w:fill="FFFFFF"/>
          <w:lang w:eastAsia="en-US" w:bidi="ar-SA"/>
        </w:rPr>
        <w:t xml:space="preserve"> </w:t>
      </w:r>
      <w:r>
        <w:rPr>
          <w:i/>
          <w:color w:val="000000"/>
          <w:szCs w:val="20"/>
          <w:shd w:val="clear" w:color="auto" w:fill="FFFFFF"/>
          <w:lang w:eastAsia="en-US" w:bidi="ar-SA"/>
        </w:rPr>
        <w:t xml:space="preserve">średni stan zobowiązań z tytułu dostaw </w:t>
      </w:r>
      <w:r>
        <w:rPr>
          <w:i/>
          <w:color w:val="000000"/>
          <w:szCs w:val="20"/>
          <w:shd w:val="clear" w:color="auto" w:fill="FFFFFF"/>
          <w:lang w:eastAsia="en-US" w:bidi="ar-SA"/>
        </w:rPr>
        <w:br/>
        <w:t xml:space="preserve">i usług x liczba dni w okresie (365)* </w:t>
      </w:r>
      <w:r>
        <w:rPr>
          <w:b/>
          <w:i/>
          <w:color w:val="000000"/>
          <w:szCs w:val="20"/>
          <w:shd w:val="clear" w:color="auto" w:fill="FFFFFF"/>
          <w:lang w:eastAsia="en-US" w:bidi="ar-SA"/>
        </w:rPr>
        <w:t>/</w:t>
      </w:r>
      <w:r>
        <w:rPr>
          <w:i/>
          <w:color w:val="000000"/>
          <w:szCs w:val="20"/>
          <w:shd w:val="clear" w:color="auto" w:fill="FFFFFF"/>
          <w:lang w:eastAsia="en-US" w:bidi="ar-SA"/>
        </w:rPr>
        <w:t xml:space="preserve"> przychody netto ze sprzedaży produktów </w:t>
      </w:r>
      <w:r>
        <w:rPr>
          <w:i/>
          <w:color w:val="000000"/>
          <w:szCs w:val="20"/>
          <w:shd w:val="clear" w:color="auto" w:fill="FFFFFF"/>
          <w:lang w:eastAsia="en-US" w:bidi="ar-SA"/>
        </w:rPr>
        <w:br/>
        <w:t>+ przychody netto ze sprzedaży towarów i materiałów</w:t>
      </w:r>
    </w:p>
    <w:p w:rsidR="00B91C8A" w:rsidRDefault="004E7132">
      <w:pPr>
        <w:jc w:val="both"/>
        <w:rPr>
          <w:i/>
          <w:color w:val="000000"/>
          <w:szCs w:val="20"/>
          <w:shd w:val="clear" w:color="auto" w:fill="FFFFFF"/>
          <w:lang w:eastAsia="en-US" w:bidi="ar-SA"/>
        </w:rPr>
      </w:pPr>
      <w:r>
        <w:rPr>
          <w:i/>
          <w:color w:val="000000"/>
          <w:szCs w:val="20"/>
          <w:shd w:val="clear" w:color="auto" w:fill="FFFFFF"/>
          <w:lang w:eastAsia="en-US" w:bidi="ar-SA"/>
        </w:rPr>
        <w:t>*średni stan zobowiązań z tytułu dostaw i usług to suma tych zobowiązań na koniec poprzedniego roku obrotowego i na koniec bieżącego roku obrotowego podzielona przez 2.</w:t>
      </w:r>
    </w:p>
    <w:p w:rsidR="00B91C8A" w:rsidRDefault="00B91C8A">
      <w:pPr>
        <w:jc w:val="left"/>
        <w:rPr>
          <w:i/>
          <w:color w:val="000000"/>
          <w:szCs w:val="20"/>
          <w:shd w:val="clear" w:color="auto" w:fill="FFFFFF"/>
          <w:lang w:eastAsia="en-US" w:bidi="ar-SA"/>
        </w:rPr>
      </w:pP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rotacji zobowiązań</w:t>
      </w:r>
      <w:r>
        <w:rPr>
          <w:color w:val="000000"/>
          <w:szCs w:val="20"/>
          <w:shd w:val="clear" w:color="auto" w:fill="FFFFFF"/>
          <w:lang w:eastAsia="en-US" w:bidi="ar-SA"/>
        </w:rPr>
        <w:t>: do 60 dni ocena 7; od 61 dni do 90 dni ocena 4; powyżej 90 dni ocena 0.</w:t>
      </w:r>
    </w:p>
    <w:p w:rsidR="00B91C8A" w:rsidRDefault="004E7132">
      <w:pPr>
        <w:numPr>
          <w:ilvl w:val="0"/>
          <w:numId w:val="3"/>
        </w:numPr>
        <w:tabs>
          <w:tab w:val="left" w:pos="360"/>
        </w:tabs>
        <w:spacing w:after="200" w:line="276" w:lineRule="auto"/>
        <w:ind w:left="285" w:hanging="285"/>
        <w:jc w:val="both"/>
        <w:rPr>
          <w:color w:val="000000"/>
          <w:szCs w:val="20"/>
          <w:shd w:val="clear" w:color="auto" w:fill="FFFFFF"/>
          <w:lang w:eastAsia="en-US" w:bidi="ar-SA"/>
        </w:rPr>
      </w:pPr>
      <w:r>
        <w:rPr>
          <w:color w:val="000000"/>
          <w:szCs w:val="20"/>
          <w:u w:val="single"/>
          <w:shd w:val="clear" w:color="auto" w:fill="FFFFFF"/>
          <w:lang w:eastAsia="en-US" w:bidi="ar-SA"/>
        </w:rPr>
        <w:t>Wskaźniki zadłużenia</w:t>
      </w:r>
      <w:r>
        <w:rPr>
          <w:color w:val="000000"/>
          <w:szCs w:val="20"/>
          <w:shd w:val="clear" w:color="auto" w:fill="FFFFFF"/>
          <w:lang w:eastAsia="en-US" w:bidi="ar-SA"/>
        </w:rPr>
        <w:t xml:space="preserve"> – zadłużenie jednostki mierzone jest wskaźnikiem zadłużenia aktywów i wskaźnikiem wypłacalności. </w:t>
      </w:r>
      <w:r>
        <w:rPr>
          <w:color w:val="000000"/>
          <w:szCs w:val="20"/>
          <w:u w:val="single"/>
          <w:shd w:val="clear" w:color="auto" w:fill="FFFFFF"/>
          <w:lang w:eastAsia="en-US" w:bidi="ar-SA"/>
        </w:rPr>
        <w:t>Wskaźnik zadłużenia aktywów</w:t>
      </w:r>
      <w:r>
        <w:rPr>
          <w:color w:val="000000"/>
          <w:szCs w:val="20"/>
          <w:shd w:val="clear" w:color="auto" w:fill="FFFFFF"/>
          <w:lang w:eastAsia="en-US" w:bidi="ar-SA"/>
        </w:rPr>
        <w:t xml:space="preserve"> określa udział wszystkich zobowiązań i rezerw na zobowiązania (kapitałów obcych) w finansowaniu majątku jednostki, czyli informuje jaka część posiadanego majątku jednostki nie stanowi jego własności lub stanowi zabezpieczenie spłaty zobowiązań zasobami majątkowymi. </w:t>
      </w:r>
      <w:r>
        <w:rPr>
          <w:color w:val="000000"/>
          <w:szCs w:val="20"/>
          <w:u w:val="single"/>
          <w:shd w:val="clear" w:color="auto" w:fill="FFFFFF"/>
          <w:lang w:eastAsia="en-US" w:bidi="ar-SA"/>
        </w:rPr>
        <w:t>Wskaźnik wypłacalności</w:t>
      </w:r>
      <w:r>
        <w:rPr>
          <w:color w:val="000000"/>
          <w:szCs w:val="20"/>
          <w:shd w:val="clear" w:color="auto" w:fill="FFFFFF"/>
          <w:lang w:eastAsia="en-US" w:bidi="ar-SA"/>
        </w:rPr>
        <w:t xml:space="preserve"> określa wielkość kapitałów obcych (zobowiązań i rezerw) przypadających na jednostkę kapitału (funduszu) własnego. Wysoka wartość wskaźnika wskazuje na możliwość utraty zdolności do regulowania przez podmiot zobowiązań.</w:t>
      </w:r>
    </w:p>
    <w:p w:rsidR="00B91C8A" w:rsidRDefault="004E7132">
      <w:pPr>
        <w:spacing w:after="200" w:line="276" w:lineRule="auto"/>
        <w:ind w:left="360"/>
        <w:jc w:val="left"/>
        <w:rPr>
          <w:i/>
          <w:color w:val="000000"/>
          <w:szCs w:val="20"/>
          <w:shd w:val="clear" w:color="auto" w:fill="FFFFFF"/>
          <w:lang w:eastAsia="en-US" w:bidi="ar-SA"/>
        </w:rPr>
      </w:pPr>
      <w:r>
        <w:rPr>
          <w:i/>
          <w:color w:val="000000"/>
          <w:szCs w:val="20"/>
          <w:u w:val="single"/>
          <w:shd w:val="clear" w:color="auto" w:fill="FFFFFF"/>
          <w:lang w:eastAsia="en-US" w:bidi="ar-SA"/>
        </w:rPr>
        <w:t>wskaźnik zadłużenia aktywów (%)  =</w:t>
      </w:r>
      <w:r>
        <w:rPr>
          <w:i/>
          <w:color w:val="000000"/>
          <w:szCs w:val="20"/>
          <w:shd w:val="clear" w:color="auto" w:fill="FFFFFF"/>
          <w:lang w:eastAsia="en-US" w:bidi="ar-SA"/>
        </w:rPr>
        <w:t xml:space="preserve"> (zobowiązania długoterminowe + zobowiązania krótkoterminowe + rezerwy na zobowiązania) x 100% / aktywa razem</w:t>
      </w: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zadłużenia aktywów:</w:t>
      </w:r>
      <w:r>
        <w:rPr>
          <w:color w:val="000000"/>
          <w:szCs w:val="20"/>
          <w:shd w:val="clear" w:color="auto" w:fill="FFFFFF"/>
          <w:lang w:eastAsia="en-US" w:bidi="ar-SA"/>
        </w:rPr>
        <w:t xml:space="preserve"> poniżej 40% ocena 10; od 40% </w:t>
      </w:r>
      <w:r>
        <w:rPr>
          <w:color w:val="000000"/>
          <w:szCs w:val="20"/>
          <w:shd w:val="clear" w:color="auto" w:fill="FFFFFF"/>
          <w:lang w:eastAsia="en-US" w:bidi="ar-SA"/>
        </w:rPr>
        <w:br/>
        <w:t>do 60% ocena 8; powyżej 60% do 80% ocena 3; powyżej 80% ocena 0.</w:t>
      </w:r>
    </w:p>
    <w:p w:rsidR="00B91C8A" w:rsidRDefault="004E7132">
      <w:pPr>
        <w:spacing w:after="200" w:line="276" w:lineRule="auto"/>
        <w:ind w:left="426"/>
        <w:jc w:val="left"/>
        <w:rPr>
          <w:i/>
          <w:color w:val="000000"/>
          <w:szCs w:val="20"/>
          <w:shd w:val="clear" w:color="auto" w:fill="FFFFFF"/>
          <w:lang w:eastAsia="en-US" w:bidi="ar-SA"/>
        </w:rPr>
      </w:pPr>
      <w:r>
        <w:rPr>
          <w:i/>
          <w:color w:val="000000"/>
          <w:szCs w:val="20"/>
          <w:u w:val="single"/>
          <w:shd w:val="clear" w:color="auto" w:fill="FFFFFF"/>
          <w:lang w:eastAsia="en-US" w:bidi="ar-SA"/>
        </w:rPr>
        <w:t>wskaźnik wypłacalności =</w:t>
      </w:r>
      <w:r>
        <w:rPr>
          <w:i/>
          <w:color w:val="000000"/>
          <w:szCs w:val="20"/>
          <w:shd w:val="clear" w:color="auto" w:fill="FFFFFF"/>
          <w:lang w:eastAsia="en-US" w:bidi="ar-SA"/>
        </w:rPr>
        <w:t xml:space="preserve"> zobowiązania długoterminowe + zobowiązania krótkoterminowe + rezerwy na zobowiązania </w:t>
      </w:r>
      <w:r>
        <w:rPr>
          <w:b/>
          <w:i/>
          <w:color w:val="000000"/>
          <w:szCs w:val="20"/>
          <w:shd w:val="clear" w:color="auto" w:fill="FFFFFF"/>
          <w:lang w:eastAsia="en-US" w:bidi="ar-SA"/>
        </w:rPr>
        <w:t xml:space="preserve">/ </w:t>
      </w:r>
      <w:r>
        <w:rPr>
          <w:i/>
          <w:color w:val="000000"/>
          <w:szCs w:val="20"/>
          <w:shd w:val="clear" w:color="auto" w:fill="FFFFFF"/>
          <w:lang w:eastAsia="en-US" w:bidi="ar-SA"/>
        </w:rPr>
        <w:t>fundusz własny</w:t>
      </w:r>
    </w:p>
    <w:p w:rsidR="00B91C8A" w:rsidRDefault="004E7132">
      <w:pPr>
        <w:tabs>
          <w:tab w:val="left" w:pos="360"/>
        </w:tabs>
        <w:spacing w:line="276" w:lineRule="auto"/>
        <w:jc w:val="both"/>
        <w:rPr>
          <w:color w:val="000000"/>
          <w:szCs w:val="20"/>
          <w:shd w:val="clear" w:color="auto" w:fill="FFFFFF"/>
          <w:lang w:eastAsia="en-US" w:bidi="ar-SA"/>
        </w:rPr>
      </w:pPr>
      <w:r>
        <w:rPr>
          <w:b/>
          <w:color w:val="000000"/>
          <w:szCs w:val="20"/>
          <w:shd w:val="clear" w:color="auto" w:fill="FFFFFF"/>
          <w:lang w:eastAsia="en-US" w:bidi="ar-SA"/>
        </w:rPr>
        <w:t>wartość punktowa wskaźnika wypłacalności</w:t>
      </w:r>
      <w:r>
        <w:rPr>
          <w:color w:val="000000"/>
          <w:szCs w:val="20"/>
          <w:shd w:val="clear" w:color="auto" w:fill="FFFFFF"/>
          <w:lang w:eastAsia="en-US" w:bidi="ar-SA"/>
        </w:rPr>
        <w:t>: od 0,0 do 0,5 ocena 10; od 0,51 do 1,0 ocena 8; od 1,01 do 2,0 ocena 6; od 2,01 do 4,0 ocena 4; powyższej 4,0 lub poniżej 0,0 ocena 0.</w:t>
      </w:r>
    </w:p>
    <w:p w:rsidR="00B91C8A" w:rsidRDefault="004E7132">
      <w:pPr>
        <w:numPr>
          <w:ilvl w:val="0"/>
          <w:numId w:val="1"/>
        </w:numPr>
        <w:tabs>
          <w:tab w:val="left" w:pos="360"/>
        </w:tabs>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Punktowe oceny dla określonych przedziałów wartości wskaźników.</w:t>
      </w:r>
    </w:p>
    <w:p w:rsidR="00B91C8A" w:rsidRDefault="004E7132">
      <w:pPr>
        <w:tabs>
          <w:tab w:val="left" w:pos="360"/>
        </w:tabs>
        <w:spacing w:after="200" w:line="276" w:lineRule="auto"/>
        <w:jc w:val="both"/>
        <w:rPr>
          <w:color w:val="000000"/>
          <w:szCs w:val="20"/>
          <w:shd w:val="clear" w:color="auto" w:fill="FFFFFF"/>
          <w:lang w:eastAsia="en-US" w:bidi="ar-SA"/>
        </w:rPr>
      </w:pPr>
      <w:r>
        <w:rPr>
          <w:color w:val="000000"/>
          <w:szCs w:val="20"/>
          <w:shd w:val="clear" w:color="auto" w:fill="FFFFFF"/>
          <w:lang w:eastAsia="en-US" w:bidi="ar-SA"/>
        </w:rPr>
        <w:t>Sumaryczna, maksymalna możliwa ocena punktowa wszystkich wskaźników ekonomiczno-finansowych dla SPZOZ-ów wynikająca z ww. rozporządzenia (za dany rok) wynosi 70 pkt</w:t>
      </w:r>
      <w:r>
        <w:rPr>
          <w:color w:val="000000"/>
          <w:szCs w:val="20"/>
          <w:shd w:val="clear" w:color="auto" w:fill="FFFFFF"/>
        </w:rPr>
        <w:t>.</w:t>
      </w:r>
      <w:r>
        <w:rPr>
          <w:color w:val="000000"/>
          <w:szCs w:val="20"/>
          <w:shd w:val="clear" w:color="auto" w:fill="FFFFFF"/>
          <w:lang w:eastAsia="en-US" w:bidi="ar-SA"/>
        </w:rPr>
        <w:t xml:space="preserve"> </w:t>
      </w:r>
    </w:p>
    <w:p w:rsidR="00B91C8A" w:rsidRDefault="00B91C8A">
      <w:pPr>
        <w:tabs>
          <w:tab w:val="left" w:pos="360"/>
        </w:tabs>
        <w:spacing w:after="200" w:line="276" w:lineRule="auto"/>
        <w:jc w:val="both"/>
        <w:rPr>
          <w:b/>
          <w:color w:val="000000"/>
          <w:szCs w:val="20"/>
          <w:shd w:val="clear" w:color="auto" w:fill="FFFFFF"/>
          <w:lang w:eastAsia="en-US" w:bidi="ar-SA"/>
        </w:rPr>
      </w:pPr>
    </w:p>
    <w:p w:rsidR="00B91C8A" w:rsidRDefault="004E7132">
      <w:pPr>
        <w:tabs>
          <w:tab w:val="left" w:pos="360"/>
        </w:tabs>
        <w:spacing w:after="200" w:line="276" w:lineRule="auto"/>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Ocena formalna</w:t>
      </w:r>
      <w:r>
        <w:rPr>
          <w:color w:val="000000"/>
          <w:szCs w:val="20"/>
          <w:shd w:val="clear" w:color="auto" w:fill="FFFFFF"/>
          <w:lang w:eastAsia="en-US" w:bidi="ar-SA"/>
        </w:rPr>
        <w:t xml:space="preserve"> </w:t>
      </w:r>
    </w:p>
    <w:p w:rsidR="00B91C8A" w:rsidRDefault="004E7132">
      <w:pPr>
        <w:keepNext/>
        <w:spacing w:before="240" w:after="60"/>
        <w:jc w:val="left"/>
        <w:outlineLvl w:val="0"/>
        <w:rPr>
          <w:b/>
          <w:szCs w:val="20"/>
          <w:lang w:eastAsia="en-US" w:bidi="ar-SA"/>
        </w:rPr>
      </w:pPr>
      <w:r>
        <w:rPr>
          <w:b/>
          <w:szCs w:val="20"/>
          <w:lang w:eastAsia="en-US" w:bidi="ar-SA"/>
        </w:rPr>
        <w:t>Wskaźniki MCM „Widzew” w Łodzi za rok 2024</w:t>
      </w:r>
    </w:p>
    <w:p w:rsidR="00B91C8A" w:rsidRDefault="00B91C8A">
      <w:pPr>
        <w:keepNext/>
        <w:spacing w:before="240" w:after="60"/>
        <w:jc w:val="left"/>
        <w:outlineLvl w:val="0"/>
        <w:rPr>
          <w:b/>
          <w:szCs w:val="20"/>
          <w:lang w:eastAsia="en-US" w:bidi="ar-SA"/>
        </w:rPr>
      </w:pPr>
    </w:p>
    <w:tbl>
      <w:tblPr>
        <w:tblW w:w="5000" w:type="pct"/>
        <w:tblCellMar>
          <w:left w:w="70" w:type="dxa"/>
          <w:right w:w="70" w:type="dxa"/>
        </w:tblCellMar>
        <w:tblLook w:val="04A0" w:firstRow="1" w:lastRow="0" w:firstColumn="1" w:lastColumn="0" w:noHBand="0" w:noVBand="1"/>
      </w:tblPr>
      <w:tblGrid>
        <w:gridCol w:w="2131"/>
        <w:gridCol w:w="4297"/>
        <w:gridCol w:w="1263"/>
        <w:gridCol w:w="1361"/>
      </w:tblGrid>
      <w:tr w:rsidR="00B91C8A">
        <w:trPr>
          <w:trHeight w:val="491"/>
        </w:trPr>
        <w:tc>
          <w:tcPr>
            <w:tcW w:w="1155" w:type="pct"/>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Grupa</w:t>
            </w:r>
          </w:p>
        </w:tc>
        <w:tc>
          <w:tcPr>
            <w:tcW w:w="2381" w:type="pct"/>
            <w:vMerge w:val="restart"/>
            <w:tcBorders>
              <w:top w:val="single" w:sz="8" w:space="0" w:color="000000"/>
              <w:left w:val="single" w:sz="8" w:space="0" w:color="000000"/>
              <w:bottom w:val="single" w:sz="8" w:space="0" w:color="000000"/>
              <w:right w:val="nil"/>
            </w:tcBorders>
            <w:shd w:val="clear" w:color="auto" w:fill="FFFF99"/>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Wskaźniki</w:t>
            </w:r>
          </w:p>
        </w:tc>
        <w:tc>
          <w:tcPr>
            <w:tcW w:w="1464" w:type="pct"/>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2024</w:t>
            </w:r>
          </w:p>
        </w:tc>
      </w:tr>
      <w:tr w:rsidR="00B91C8A">
        <w:trPr>
          <w:trHeight w:val="764"/>
        </w:trPr>
        <w:tc>
          <w:tcPr>
            <w:tcW w:w="1155" w:type="pct"/>
            <w:vMerge/>
            <w:tcBorders>
              <w:top w:val="single" w:sz="8" w:space="0" w:color="000000"/>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vMerge/>
            <w:tcBorders>
              <w:top w:val="single" w:sz="8" w:space="0" w:color="000000"/>
              <w:left w:val="single" w:sz="8" w:space="0" w:color="000000"/>
              <w:bottom w:val="single" w:sz="8" w:space="0" w:color="000000"/>
              <w:right w:val="nil"/>
            </w:tcBorders>
            <w:vAlign w:val="center"/>
          </w:tcPr>
          <w:p w:rsidR="00B91C8A" w:rsidRDefault="00B91C8A">
            <w:pPr>
              <w:jc w:val="left"/>
              <w:rPr>
                <w:b/>
                <w:color w:val="000000"/>
                <w:szCs w:val="20"/>
                <w:shd w:val="clear" w:color="auto" w:fill="FFFFFF"/>
                <w:lang w:eastAsia="en-US" w:bidi="ar-SA"/>
              </w:rPr>
            </w:pPr>
          </w:p>
        </w:tc>
        <w:tc>
          <w:tcPr>
            <w:tcW w:w="705" w:type="pct"/>
            <w:tcBorders>
              <w:top w:val="nil"/>
              <w:left w:val="single" w:sz="8" w:space="0" w:color="000000"/>
              <w:bottom w:val="single" w:sz="8" w:space="0" w:color="000000"/>
              <w:right w:val="single" w:sz="4" w:space="0" w:color="000000"/>
            </w:tcBorders>
            <w:shd w:val="clear" w:color="auto" w:fill="FFFF99"/>
            <w:vAlign w:val="center"/>
          </w:tcPr>
          <w:p w:rsidR="00B91C8A" w:rsidRDefault="004E7132">
            <w:pPr>
              <w:ind w:left="650" w:hanging="650"/>
              <w:rPr>
                <w:b/>
                <w:color w:val="000000"/>
                <w:szCs w:val="20"/>
                <w:shd w:val="clear" w:color="auto" w:fill="FFFFFF"/>
                <w:lang w:eastAsia="en-US" w:bidi="ar-SA"/>
              </w:rPr>
            </w:pPr>
            <w:r>
              <w:rPr>
                <w:b/>
                <w:color w:val="000000"/>
                <w:szCs w:val="20"/>
                <w:shd w:val="clear" w:color="auto" w:fill="FFFFFF"/>
                <w:lang w:eastAsia="en-US" w:bidi="ar-SA"/>
              </w:rPr>
              <w:t>Wskaźnik</w:t>
            </w:r>
          </w:p>
        </w:tc>
        <w:tc>
          <w:tcPr>
            <w:tcW w:w="759" w:type="pct"/>
            <w:tcBorders>
              <w:top w:val="nil"/>
              <w:left w:val="nil"/>
              <w:bottom w:val="single" w:sz="8" w:space="0" w:color="000000"/>
              <w:right w:val="single" w:sz="8" w:space="0" w:color="000000"/>
            </w:tcBorders>
            <w:shd w:val="clear" w:color="auto" w:fill="FFFF99"/>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Ilość punktów</w:t>
            </w:r>
          </w:p>
        </w:tc>
      </w:tr>
      <w:tr w:rsidR="00B91C8A">
        <w:trPr>
          <w:trHeight w:val="158"/>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WSKAŹNIKI ZYSKOWNOŚCI</w:t>
            </w: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 xml:space="preserve">zyskowności  netto  (%)                                                           </w:t>
            </w:r>
          </w:p>
        </w:tc>
        <w:tc>
          <w:tcPr>
            <w:tcW w:w="705" w:type="pct"/>
            <w:tcBorders>
              <w:top w:val="nil"/>
              <w:left w:val="nil"/>
              <w:bottom w:val="single" w:sz="4" w:space="0" w:color="000000"/>
              <w:right w:val="single" w:sz="4" w:space="0" w:color="000000"/>
            </w:tcBorders>
            <w:noWrap/>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8,47%</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5</w:t>
            </w:r>
          </w:p>
        </w:tc>
      </w:tr>
      <w:tr w:rsidR="00B91C8A">
        <w:trPr>
          <w:trHeight w:val="276"/>
        </w:trPr>
        <w:tc>
          <w:tcPr>
            <w:tcW w:w="1155" w:type="pct"/>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 xml:space="preserve">zyskowności działalności operacyjnej (%)            </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7,61%</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5</w:t>
            </w:r>
          </w:p>
        </w:tc>
      </w:tr>
      <w:tr w:rsidR="00B91C8A">
        <w:trPr>
          <w:trHeight w:val="408"/>
        </w:trPr>
        <w:tc>
          <w:tcPr>
            <w:tcW w:w="1155" w:type="pct"/>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tcBorders>
              <w:top w:val="nil"/>
              <w:left w:val="nil"/>
              <w:bottom w:val="nil"/>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zyskowność aktywów (%)</w:t>
            </w:r>
          </w:p>
        </w:tc>
        <w:tc>
          <w:tcPr>
            <w:tcW w:w="705" w:type="pct"/>
            <w:tcBorders>
              <w:top w:val="nil"/>
              <w:left w:val="nil"/>
              <w:bottom w:val="nil"/>
              <w:right w:val="single" w:sz="4"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9,86%</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5</w:t>
            </w:r>
          </w:p>
        </w:tc>
      </w:tr>
      <w:tr w:rsidR="00B91C8A">
        <w:trPr>
          <w:trHeight w:val="586"/>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Maksymalna ocena punktowa 15 pkt</w:t>
            </w:r>
          </w:p>
        </w:tc>
        <w:tc>
          <w:tcPr>
            <w:tcW w:w="705" w:type="pct"/>
            <w:tcBorders>
              <w:top w:val="single" w:sz="8" w:space="0" w:color="000000"/>
              <w:left w:val="nil"/>
              <w:bottom w:val="single" w:sz="8" w:space="0" w:color="000000"/>
              <w:right w:val="nil"/>
            </w:tcBorders>
            <w:shd w:val="clear" w:color="auto" w:fill="CCFFCC"/>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15 (100%)</w:t>
            </w:r>
          </w:p>
        </w:tc>
      </w:tr>
      <w:tr w:rsidR="00B91C8A">
        <w:trPr>
          <w:trHeight w:val="224"/>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WSKAŹNIKI PŁYNNOŚCI</w:t>
            </w: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 xml:space="preserve">bieżącej płynności                                           </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4,33</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10</w:t>
            </w:r>
          </w:p>
        </w:tc>
      </w:tr>
      <w:tr w:rsidR="00B91C8A">
        <w:trPr>
          <w:trHeight w:val="214"/>
        </w:trPr>
        <w:tc>
          <w:tcPr>
            <w:tcW w:w="1155" w:type="pct"/>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szybkiej płynności</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4,32</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10</w:t>
            </w:r>
          </w:p>
        </w:tc>
      </w:tr>
      <w:tr w:rsidR="00B91C8A">
        <w:trPr>
          <w:trHeight w:val="80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25 pkt</w:t>
            </w:r>
          </w:p>
        </w:tc>
        <w:tc>
          <w:tcPr>
            <w:tcW w:w="705" w:type="pct"/>
            <w:tcBorders>
              <w:top w:val="single" w:sz="8" w:space="0" w:color="000000"/>
              <w:left w:val="nil"/>
              <w:bottom w:val="single" w:sz="8" w:space="0" w:color="000000"/>
              <w:right w:val="nil"/>
            </w:tcBorders>
            <w:shd w:val="clear" w:color="auto" w:fill="CCFFFF"/>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20 (80%)</w:t>
            </w:r>
          </w:p>
        </w:tc>
      </w:tr>
      <w:tr w:rsidR="00B91C8A">
        <w:trPr>
          <w:trHeight w:val="256"/>
        </w:trPr>
        <w:tc>
          <w:tcPr>
            <w:tcW w:w="1155" w:type="pct"/>
            <w:vMerge w:val="restart"/>
            <w:tcBorders>
              <w:top w:val="nil"/>
              <w:left w:val="single" w:sz="8" w:space="0" w:color="000000"/>
              <w:bottom w:val="single" w:sz="8" w:space="0" w:color="000000"/>
              <w:right w:val="single" w:sz="8" w:space="0" w:color="000000"/>
            </w:tcBorders>
            <w:shd w:val="clear" w:color="auto" w:fill="CCFFCC"/>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WSKAŹNIKI EFEKTYWNOŚCI</w:t>
            </w: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 xml:space="preserve">rotacji należności (w dniach)                           </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35</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3</w:t>
            </w:r>
          </w:p>
        </w:tc>
      </w:tr>
      <w:tr w:rsidR="00B91C8A">
        <w:trPr>
          <w:trHeight w:val="374"/>
        </w:trPr>
        <w:tc>
          <w:tcPr>
            <w:tcW w:w="1155" w:type="pct"/>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rotacji zobowiązań (w dniach)</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12</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7</w:t>
            </w:r>
          </w:p>
        </w:tc>
      </w:tr>
      <w:tr w:rsidR="00B91C8A">
        <w:trPr>
          <w:trHeight w:val="585"/>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10 pkt</w:t>
            </w:r>
          </w:p>
        </w:tc>
        <w:tc>
          <w:tcPr>
            <w:tcW w:w="705" w:type="pct"/>
            <w:tcBorders>
              <w:top w:val="single" w:sz="8" w:space="0" w:color="000000"/>
              <w:left w:val="nil"/>
              <w:bottom w:val="single" w:sz="8" w:space="0" w:color="000000"/>
              <w:right w:val="nil"/>
            </w:tcBorders>
            <w:shd w:val="clear" w:color="auto" w:fill="CCFFCC"/>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10 (100%)</w:t>
            </w:r>
          </w:p>
        </w:tc>
      </w:tr>
      <w:tr w:rsidR="00B91C8A">
        <w:trPr>
          <w:trHeight w:val="777"/>
        </w:trPr>
        <w:tc>
          <w:tcPr>
            <w:tcW w:w="1155" w:type="pct"/>
            <w:vMerge w:val="restart"/>
            <w:tcBorders>
              <w:top w:val="nil"/>
              <w:left w:val="single" w:sz="8" w:space="0" w:color="000000"/>
              <w:bottom w:val="single" w:sz="8" w:space="0" w:color="000000"/>
              <w:right w:val="single" w:sz="8" w:space="0" w:color="000000"/>
            </w:tcBorders>
            <w:shd w:val="clear" w:color="auto" w:fill="CCFFFF"/>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WSKAŹNIKI ZADŁUŻENIA</w:t>
            </w: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 xml:space="preserve">zadłużenia aktywów (%)                          </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20%</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10</w:t>
            </w:r>
          </w:p>
        </w:tc>
      </w:tr>
      <w:tr w:rsidR="00B91C8A">
        <w:trPr>
          <w:trHeight w:val="672"/>
        </w:trPr>
        <w:tc>
          <w:tcPr>
            <w:tcW w:w="1155" w:type="pct"/>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Cs w:val="20"/>
                <w:shd w:val="clear" w:color="auto" w:fill="FFFFFF"/>
                <w:lang w:eastAsia="en-US" w:bidi="ar-SA"/>
              </w:rPr>
            </w:pPr>
          </w:p>
        </w:tc>
        <w:tc>
          <w:tcPr>
            <w:tcW w:w="2381" w:type="pct"/>
            <w:tcBorders>
              <w:top w:val="nil"/>
              <w:left w:val="nil"/>
              <w:bottom w:val="single" w:sz="4" w:space="0" w:color="000000"/>
              <w:right w:val="single" w:sz="8" w:space="0" w:color="000000"/>
            </w:tcBorders>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wypłacalności</w:t>
            </w:r>
          </w:p>
        </w:tc>
        <w:tc>
          <w:tcPr>
            <w:tcW w:w="705" w:type="pct"/>
            <w:tcBorders>
              <w:top w:val="nil"/>
              <w:left w:val="nil"/>
              <w:bottom w:val="single" w:sz="4" w:space="0" w:color="000000"/>
              <w:right w:val="single" w:sz="4"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0,31</w:t>
            </w:r>
          </w:p>
        </w:tc>
        <w:tc>
          <w:tcPr>
            <w:tcW w:w="759" w:type="pct"/>
            <w:tcBorders>
              <w:top w:val="nil"/>
              <w:left w:val="nil"/>
              <w:bottom w:val="single" w:sz="4" w:space="0" w:color="000000"/>
              <w:right w:val="single" w:sz="8" w:space="0" w:color="000000"/>
            </w:tcBorders>
            <w:shd w:val="clear" w:color="auto" w:fill="FFFFFF"/>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10</w:t>
            </w:r>
          </w:p>
        </w:tc>
      </w:tr>
      <w:tr w:rsidR="00B91C8A">
        <w:trPr>
          <w:trHeight w:val="4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Maksymalna ocena punktowa 20 pkt</w:t>
            </w:r>
          </w:p>
        </w:tc>
        <w:tc>
          <w:tcPr>
            <w:tcW w:w="705" w:type="pct"/>
            <w:tcBorders>
              <w:top w:val="single" w:sz="8" w:space="0" w:color="000000"/>
              <w:left w:val="nil"/>
              <w:bottom w:val="single" w:sz="8" w:space="0" w:color="000000"/>
              <w:right w:val="nil"/>
            </w:tcBorders>
            <w:shd w:val="clear" w:color="auto" w:fill="CCFFFF"/>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Razem</w:t>
            </w:r>
          </w:p>
        </w:tc>
        <w:tc>
          <w:tcPr>
            <w:tcW w:w="759" w:type="pct"/>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20 (100%)</w:t>
            </w:r>
          </w:p>
        </w:tc>
      </w:tr>
      <w:tr w:rsidR="00B91C8A">
        <w:trPr>
          <w:trHeight w:val="292"/>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Łączna wartość punktów osiągniętych</w:t>
            </w:r>
          </w:p>
        </w:tc>
        <w:tc>
          <w:tcPr>
            <w:tcW w:w="1464" w:type="pct"/>
            <w:gridSpan w:val="2"/>
            <w:tcBorders>
              <w:top w:val="single" w:sz="8" w:space="0" w:color="000000"/>
              <w:left w:val="nil"/>
              <w:bottom w:val="single" w:sz="8" w:space="0" w:color="000000"/>
              <w:right w:val="single" w:sz="8" w:space="0" w:color="000000"/>
            </w:tcBorders>
            <w:shd w:val="clear" w:color="auto" w:fill="FFFF99"/>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65 (92,86%)</w:t>
            </w:r>
          </w:p>
        </w:tc>
      </w:tr>
      <w:tr w:rsidR="00B91C8A">
        <w:trPr>
          <w:trHeight w:val="538"/>
        </w:trPr>
        <w:tc>
          <w:tcPr>
            <w:tcW w:w="3536" w:type="pct"/>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Maksymalna  wartość punktów możliwych do osiągnięcia</w:t>
            </w:r>
          </w:p>
        </w:tc>
        <w:tc>
          <w:tcPr>
            <w:tcW w:w="1464" w:type="pct"/>
            <w:gridSpan w:val="2"/>
            <w:tcBorders>
              <w:top w:val="single" w:sz="8" w:space="0" w:color="000000"/>
              <w:left w:val="nil"/>
              <w:bottom w:val="single" w:sz="8" w:space="0" w:color="000000"/>
              <w:right w:val="single" w:sz="8" w:space="0" w:color="000000"/>
            </w:tcBorders>
            <w:shd w:val="clear" w:color="auto" w:fill="FFFF00"/>
            <w:vAlign w:val="center"/>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 xml:space="preserve"> 70 (100%)</w:t>
            </w:r>
          </w:p>
        </w:tc>
      </w:tr>
    </w:tbl>
    <w:p w:rsidR="00B91C8A" w:rsidRDefault="00B91C8A">
      <w:pPr>
        <w:spacing w:line="276" w:lineRule="auto"/>
        <w:jc w:val="both"/>
        <w:rPr>
          <w:b/>
          <w:color w:val="000000"/>
          <w:szCs w:val="20"/>
          <w:shd w:val="clear" w:color="auto" w:fill="FFFFFF"/>
          <w:lang w:eastAsia="en-US" w:bidi="ar-SA"/>
        </w:rPr>
      </w:pPr>
    </w:p>
    <w:p w:rsidR="00B91C8A" w:rsidRDefault="004E7132">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Przedstawiony przez MCM „Widzew” w Łodzi raport zawiera obowiązkowe elementy wymienione w ww. rozporządzeniu. Przedstawione w nim punktowe wartości wskaźników zostały wyliczone przez jednostkę prawidłowo i mają swoje odzwierciedlenie w składowych sprawozdania finansowego</w:t>
      </w:r>
      <w:r>
        <w:rPr>
          <w:color w:val="000000"/>
          <w:szCs w:val="20"/>
          <w:shd w:val="clear" w:color="auto" w:fill="FFFFFF"/>
        </w:rPr>
        <w:t>,</w:t>
      </w:r>
      <w:r>
        <w:rPr>
          <w:color w:val="000000"/>
          <w:szCs w:val="20"/>
          <w:shd w:val="clear" w:color="auto" w:fill="FFFFFF"/>
          <w:lang w:eastAsia="en-US" w:bidi="ar-SA"/>
        </w:rPr>
        <w:t xml:space="preserve"> tj. bilansie oraz rachunku zysków i strat za 2024 rok oraz prognozie na lata 2025-2027. </w:t>
      </w:r>
    </w:p>
    <w:p w:rsidR="00B91C8A" w:rsidRDefault="004E7132">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Przyjęte w raporcie założenia oraz kierunki działań pozwalają na dalsze funkcjonowanie jednostki, która działalność leczniczą realizuje w zakresie: podstawowej (POZ) i specjalistycznej opieki zdrowotnej, świadczeń z zakresu rehabilitacji i fizjoterapii, pielęgniarstwa i położnictwa, szczepień ochronnych, a także diagnostyki laboratoryjnej oraz obrazowej. Od 2018</w:t>
      </w:r>
      <w:r>
        <w:rPr>
          <w:color w:val="000000"/>
          <w:szCs w:val="20"/>
          <w:shd w:val="clear" w:color="auto" w:fill="FFFFFF"/>
        </w:rPr>
        <w:t xml:space="preserve"> r.</w:t>
      </w:r>
      <w:r>
        <w:rPr>
          <w:color w:val="000000"/>
          <w:szCs w:val="20"/>
          <w:shd w:val="clear" w:color="auto" w:fill="FFFFFF"/>
          <w:lang w:eastAsia="en-US" w:bidi="ar-SA"/>
        </w:rPr>
        <w:t xml:space="preserve"> przy ul. Szpitalnej 6 w Łodzi funkcjonuje Centrum Zdrowego Aktywnego Seniora realizujące zadania z zakresu promocji zdrowia polegające na promowaniu zdrowego i aktywnego trybu życia osób 60+.</w:t>
      </w:r>
    </w:p>
    <w:p w:rsidR="00B91C8A" w:rsidRDefault="00B91C8A">
      <w:pPr>
        <w:spacing w:line="276" w:lineRule="auto"/>
        <w:jc w:val="both"/>
        <w:rPr>
          <w:b/>
          <w:color w:val="000000"/>
          <w:szCs w:val="20"/>
          <w:shd w:val="clear" w:color="auto" w:fill="FFFFFF"/>
          <w:lang w:eastAsia="en-US" w:bidi="ar-SA"/>
        </w:rPr>
      </w:pPr>
    </w:p>
    <w:p w:rsidR="00B91C8A" w:rsidRDefault="004E7132">
      <w:pPr>
        <w:spacing w:line="276" w:lineRule="auto"/>
        <w:jc w:val="both"/>
        <w:rPr>
          <w:color w:val="000000"/>
          <w:szCs w:val="20"/>
          <w:shd w:val="clear" w:color="auto" w:fill="FFFFFF"/>
          <w:lang w:eastAsia="en-US" w:bidi="ar-SA"/>
        </w:rPr>
      </w:pPr>
      <w:r>
        <w:rPr>
          <w:b/>
          <w:color w:val="000000"/>
          <w:szCs w:val="20"/>
          <w:shd w:val="clear" w:color="auto" w:fill="FFFFFF"/>
          <w:lang w:eastAsia="en-US" w:bidi="ar-SA"/>
        </w:rPr>
        <w:t>W 2024 roku</w:t>
      </w:r>
      <w:r>
        <w:rPr>
          <w:color w:val="000000"/>
          <w:szCs w:val="20"/>
          <w:shd w:val="clear" w:color="auto" w:fill="FFFFFF"/>
          <w:lang w:eastAsia="en-US" w:bidi="ar-SA"/>
        </w:rPr>
        <w:t xml:space="preserve"> MCM „Widzew” w Łodzi osiągnęło </w:t>
      </w:r>
      <w:r>
        <w:rPr>
          <w:b/>
          <w:color w:val="000000"/>
          <w:szCs w:val="20"/>
          <w:shd w:val="clear" w:color="auto" w:fill="FFFFFF"/>
          <w:lang w:eastAsia="en-US" w:bidi="ar-SA"/>
        </w:rPr>
        <w:t>wynik finansowy netto</w:t>
      </w:r>
      <w:r>
        <w:rPr>
          <w:color w:val="000000"/>
          <w:szCs w:val="20"/>
          <w:shd w:val="clear" w:color="auto" w:fill="FFFFFF"/>
          <w:lang w:eastAsia="en-US" w:bidi="ar-SA"/>
        </w:rPr>
        <w:t xml:space="preserve"> w wysokości 1.996.491 zł (zysk), w roku 2023 osiągnął wielkość 2.374.936 zł (zysk); w odniesieniu do roku 2023 nastąpił spadek wynoszący: (-)378.445 zł, co oznacza zmianę o (-)15,93%. Wynik finansowy netto 2024 roku </w:t>
      </w:r>
      <w:r>
        <w:rPr>
          <w:b/>
          <w:color w:val="000000"/>
          <w:szCs w:val="20"/>
          <w:shd w:val="clear" w:color="auto" w:fill="FFFFFF"/>
          <w:lang w:eastAsia="en-US" w:bidi="ar-SA"/>
        </w:rPr>
        <w:t>po dodaniu kosztów amortyzacji</w:t>
      </w:r>
      <w:r>
        <w:rPr>
          <w:color w:val="000000"/>
          <w:szCs w:val="20"/>
          <w:shd w:val="clear" w:color="auto" w:fill="FFFFFF"/>
          <w:lang w:eastAsia="en-US" w:bidi="ar-SA"/>
        </w:rPr>
        <w:t xml:space="preserve"> wynosi (+)2.857.492 zł, </w:t>
      </w:r>
      <w:r>
        <w:rPr>
          <w:color w:val="000000"/>
          <w:szCs w:val="20"/>
          <w:shd w:val="clear" w:color="auto" w:fill="FFFFFF"/>
        </w:rPr>
        <w:br/>
      </w:r>
      <w:r>
        <w:rPr>
          <w:color w:val="000000"/>
          <w:szCs w:val="20"/>
          <w:shd w:val="clear" w:color="auto" w:fill="FFFFFF"/>
          <w:lang w:eastAsia="en-US" w:bidi="ar-SA"/>
        </w:rPr>
        <w:t>a w roku 2023 wynosił (+)3.100.162 zł.</w:t>
      </w:r>
    </w:p>
    <w:p w:rsidR="00B91C8A" w:rsidRDefault="004E7132">
      <w:pPr>
        <w:spacing w:line="276" w:lineRule="auto"/>
        <w:jc w:val="both"/>
        <w:rPr>
          <w:color w:val="000000"/>
          <w:szCs w:val="20"/>
          <w:shd w:val="clear" w:color="auto" w:fill="FFFFFF"/>
          <w:lang w:eastAsia="en-US" w:bidi="ar-SA"/>
        </w:rPr>
      </w:pPr>
      <w:bookmarkStart w:id="1" w:name="_Hlk172631842"/>
      <w:r>
        <w:rPr>
          <w:color w:val="000000"/>
          <w:szCs w:val="20"/>
          <w:shd w:val="clear" w:color="auto" w:fill="FFFFFF"/>
          <w:lang w:eastAsia="en-US" w:bidi="ar-SA"/>
        </w:rPr>
        <w:t xml:space="preserve">Na </w:t>
      </w:r>
      <w:r>
        <w:rPr>
          <w:b/>
          <w:color w:val="000000"/>
          <w:szCs w:val="20"/>
          <w:shd w:val="clear" w:color="auto" w:fill="FFFFFF"/>
          <w:lang w:eastAsia="en-US" w:bidi="ar-SA"/>
        </w:rPr>
        <w:t>działalności operacyjnej</w:t>
      </w:r>
      <w:r>
        <w:rPr>
          <w:color w:val="000000"/>
          <w:szCs w:val="20"/>
          <w:shd w:val="clear" w:color="auto" w:fill="FFFFFF"/>
          <w:lang w:eastAsia="en-US" w:bidi="ar-SA"/>
        </w:rPr>
        <w:t xml:space="preserve"> jednostka osiągnęła wynik finansowy w wysokości </w:t>
      </w:r>
      <w:r>
        <w:rPr>
          <w:color w:val="000000"/>
          <w:szCs w:val="20"/>
          <w:shd w:val="clear" w:color="auto" w:fill="FFFFFF"/>
          <w:lang w:eastAsia="en-US" w:bidi="ar-SA"/>
        </w:rPr>
        <w:br/>
        <w:t>(+)1.776.586 zł, w roku 2023 osiągnął on wielkość (+)2.187.828 zł; w odniesieniu do roku 2023 nastąpił spadek wynoszący (-)411.242 zł, co oznacza zmianę o (-)18,80%</w:t>
      </w:r>
      <w:bookmarkStart w:id="2" w:name="_Hlk135145504"/>
      <w:bookmarkStart w:id="3" w:name="_Hlk135143668"/>
      <w:r>
        <w:rPr>
          <w:color w:val="000000"/>
          <w:szCs w:val="20"/>
          <w:shd w:val="clear" w:color="auto" w:fill="FFFFFF"/>
          <w:lang w:eastAsia="en-US" w:bidi="ar-SA"/>
        </w:rPr>
        <w:t>.</w:t>
      </w:r>
      <w:bookmarkEnd w:id="1"/>
    </w:p>
    <w:p w:rsidR="00B91C8A" w:rsidRDefault="00B91C8A">
      <w:pPr>
        <w:spacing w:line="276" w:lineRule="auto"/>
        <w:jc w:val="both"/>
        <w:rPr>
          <w:color w:val="000000"/>
          <w:szCs w:val="20"/>
          <w:shd w:val="clear" w:color="auto" w:fill="FFFFFF"/>
          <w:lang w:eastAsia="en-US" w:bidi="ar-SA"/>
        </w:rPr>
      </w:pPr>
    </w:p>
    <w:p w:rsidR="00B91C8A" w:rsidRDefault="00B91C8A">
      <w:pPr>
        <w:spacing w:line="276" w:lineRule="auto"/>
        <w:jc w:val="both"/>
        <w:rPr>
          <w:color w:val="000000"/>
          <w:szCs w:val="20"/>
          <w:shd w:val="clear" w:color="auto" w:fill="FFFFFF"/>
          <w:lang w:eastAsia="en-US" w:bidi="ar-SA"/>
        </w:rPr>
      </w:pPr>
    </w:p>
    <w:p w:rsidR="00B91C8A" w:rsidRDefault="00B91C8A">
      <w:pPr>
        <w:spacing w:line="276" w:lineRule="auto"/>
        <w:jc w:val="both"/>
        <w:rPr>
          <w:color w:val="000000"/>
          <w:szCs w:val="20"/>
          <w:shd w:val="clear" w:color="auto" w:fill="FFFFFF"/>
          <w:lang w:eastAsia="en-US" w:bidi="ar-SA"/>
        </w:rPr>
      </w:pPr>
    </w:p>
    <w:p w:rsidR="00B91C8A" w:rsidRDefault="004E7132">
      <w:pPr>
        <w:spacing w:before="240"/>
        <w:jc w:val="both"/>
        <w:rPr>
          <w:b/>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„Widzew” w Łodzi na lata 2023-2024 </w:t>
      </w:r>
    </w:p>
    <w:tbl>
      <w:tblPr>
        <w:tblW w:w="49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9"/>
        <w:gridCol w:w="1383"/>
        <w:gridCol w:w="1286"/>
        <w:gridCol w:w="1335"/>
      </w:tblGrid>
      <w:tr w:rsidR="00B91C8A">
        <w:trPr>
          <w:trHeight w:val="177"/>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2023</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2024</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ind w:left="-67"/>
              <w:rPr>
                <w:b/>
                <w:color w:val="000000"/>
                <w:sz w:val="22"/>
                <w:szCs w:val="20"/>
                <w:shd w:val="clear" w:color="auto" w:fill="FFFFFF"/>
                <w:lang w:eastAsia="en-US" w:bidi="ar-SA"/>
              </w:rPr>
            </w:pPr>
            <w:r>
              <w:rPr>
                <w:b/>
                <w:color w:val="000000"/>
                <w:sz w:val="22"/>
                <w:szCs w:val="20"/>
                <w:shd w:val="clear" w:color="auto" w:fill="FFFFFF"/>
                <w:lang w:eastAsia="en-US" w:bidi="ar-SA"/>
              </w:rPr>
              <w:t>Dynamika %</w:t>
            </w:r>
          </w:p>
        </w:tc>
      </w:tr>
      <w:tr w:rsidR="00B91C8A">
        <w:trPr>
          <w:trHeight w:val="202"/>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20 906 375</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22 949 615</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109,77%</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19 166 700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20 954 746</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109,33%</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6 754 619</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7 766 165</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114,98%</w:t>
            </w:r>
          </w:p>
        </w:tc>
      </w:tr>
      <w:tr w:rsidR="00B91C8A">
        <w:trPr>
          <w:trHeight w:val="7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9 578 384</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10 398 687</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108,56%</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2 825 631</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2 775 397</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98,22%</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color w:val="000000"/>
                <w:szCs w:val="20"/>
                <w:shd w:val="clear" w:color="auto" w:fill="FFFFFF"/>
                <w:lang w:eastAsia="en-US" w:bidi="ar-SA"/>
              </w:rPr>
            </w:pPr>
            <w:r>
              <w:rPr>
                <w:i/>
                <w:color w:val="000000"/>
                <w:szCs w:val="20"/>
                <w:shd w:val="clear" w:color="auto" w:fill="FFFFFF"/>
                <w:lang w:eastAsia="en-US" w:bidi="ar-SA"/>
              </w:rPr>
              <w:t>e. pozostała sprzedaż (NFZ)</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8 066</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14 497</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179,73%</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1 739 675</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1 994 869</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114,67%</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187 899</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299 700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159,50%</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434 991</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518 390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119,17%</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1 116 785</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1 176 779</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105,37%</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358 640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407 817</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113,71%</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4"/>
              </w:numPr>
              <w:ind w:left="555" w:hanging="284"/>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283 220</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257 719</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91,00%</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60 197</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92 183</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153,14%</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15 223</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57 915</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380,44%</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highlight w:val="magenta"/>
                <w:shd w:val="clear" w:color="auto" w:fill="FFFFFF"/>
                <w:lang w:eastAsia="en-US" w:bidi="ar-SA"/>
              </w:rPr>
            </w:pPr>
            <w:r>
              <w:rPr>
                <w:b/>
                <w:color w:val="000000"/>
                <w:szCs w:val="20"/>
                <w:shd w:val="clear" w:color="auto" w:fill="FFFFFF"/>
                <w:lang w:eastAsia="en-US" w:bidi="ar-SA"/>
              </w:rPr>
              <w:t xml:space="preserve"> Przychody finansowe</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190 071</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221 810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116,70%</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21 455 086</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23 579 242</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109,90%</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i/>
                <w:color w:val="000000"/>
                <w:szCs w:val="20"/>
                <w:shd w:val="clear" w:color="auto" w:fill="FFFFFF"/>
                <w:lang w:eastAsia="en-US" w:bidi="ar-SA"/>
              </w:rPr>
            </w:pPr>
            <w:r>
              <w:rPr>
                <w:b/>
                <w:i/>
                <w:color w:val="000000"/>
                <w:szCs w:val="20"/>
                <w:shd w:val="clear" w:color="auto" w:fill="FFFFFF"/>
                <w:lang w:eastAsia="en-US" w:bidi="ar-SA"/>
              </w:rPr>
              <w:t>Zmiana stanu produktów</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-152 159</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-244 542</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160,71%</w:t>
            </w:r>
          </w:p>
        </w:tc>
      </w:tr>
      <w:tr w:rsidR="00B91C8A">
        <w:trPr>
          <w:trHeight w:val="300"/>
          <w:jc w:val="center"/>
        </w:trPr>
        <w:tc>
          <w:tcPr>
            <w:tcW w:w="275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B91C8A">
            <w:pPr>
              <w:jc w:val="left"/>
              <w:rPr>
                <w:b/>
                <w:color w:val="000000"/>
                <w:szCs w:val="20"/>
                <w:shd w:val="clear" w:color="auto" w:fill="FFFFFF"/>
                <w:lang w:eastAsia="en-US" w:bidi="ar-SA"/>
              </w:rPr>
            </w:pPr>
          </w:p>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ŁĄCZNIE </w:t>
            </w:r>
          </w:p>
        </w:tc>
        <w:tc>
          <w:tcPr>
            <w:tcW w:w="77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color w:val="000000"/>
                <w:szCs w:val="20"/>
                <w:shd w:val="clear" w:color="auto" w:fill="FFFFFF"/>
                <w:lang w:eastAsia="en-US" w:bidi="ar-SA"/>
              </w:rPr>
            </w:pPr>
          </w:p>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21 302 927</w:t>
            </w:r>
          </w:p>
        </w:tc>
        <w:tc>
          <w:tcPr>
            <w:tcW w:w="720"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color w:val="000000"/>
                <w:szCs w:val="20"/>
                <w:shd w:val="clear" w:color="auto" w:fill="FFFFFF"/>
                <w:lang w:eastAsia="en-US" w:bidi="ar-SA"/>
              </w:rPr>
            </w:pPr>
          </w:p>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23 334 700</w:t>
            </w:r>
          </w:p>
        </w:tc>
        <w:tc>
          <w:tcPr>
            <w:tcW w:w="747"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color w:val="000000"/>
                <w:szCs w:val="20"/>
                <w:shd w:val="clear" w:color="auto" w:fill="FFFFFF"/>
                <w:lang w:eastAsia="en-US" w:bidi="ar-SA"/>
              </w:rPr>
            </w:pPr>
          </w:p>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109,54%</w:t>
            </w:r>
          </w:p>
        </w:tc>
      </w:tr>
    </w:tbl>
    <w:p w:rsidR="00B91C8A" w:rsidRDefault="00B91C8A">
      <w:pPr>
        <w:spacing w:before="240"/>
        <w:jc w:val="both"/>
        <w:rPr>
          <w:b/>
          <w:color w:val="000000"/>
          <w:szCs w:val="20"/>
          <w:shd w:val="clear" w:color="auto" w:fill="FFFFFF"/>
          <w:lang w:eastAsia="en-US" w:bidi="ar-SA"/>
        </w:rPr>
      </w:pPr>
    </w:p>
    <w:p w:rsidR="00B91C8A" w:rsidRDefault="004E7132">
      <w:pPr>
        <w:spacing w:before="240"/>
        <w:jc w:val="both"/>
        <w:rPr>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Koszty</w:t>
      </w:r>
      <w:r>
        <w:rPr>
          <w:b/>
          <w:color w:val="000000"/>
          <w:szCs w:val="20"/>
          <w:shd w:val="clear" w:color="auto" w:fill="FFFFFF"/>
        </w:rPr>
        <w:t xml:space="preserve"> </w:t>
      </w:r>
      <w:r>
        <w:rPr>
          <w:b/>
          <w:color w:val="000000"/>
          <w:szCs w:val="20"/>
          <w:shd w:val="clear" w:color="auto" w:fill="FFFFFF"/>
          <w:lang w:val="ar-SA" w:eastAsia="ar-SA" w:bidi="ar-SA"/>
        </w:rPr>
        <w:t xml:space="preserve">(zł) </w:t>
      </w:r>
      <w:r>
        <w:rPr>
          <w:b/>
          <w:color w:val="000000"/>
          <w:szCs w:val="20"/>
          <w:shd w:val="clear" w:color="auto" w:fill="FFFFFF"/>
          <w:lang w:eastAsia="en-US" w:bidi="ar-SA"/>
        </w:rPr>
        <w:t xml:space="preserve">wyciąg z rachunku zysków i strat MCM „Widzew” w Łodzi na lata 2023-2024  </w:t>
      </w:r>
    </w:p>
    <w:tbl>
      <w:tblPr>
        <w:tblW w:w="51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1401"/>
        <w:gridCol w:w="1322"/>
        <w:gridCol w:w="1583"/>
      </w:tblGrid>
      <w:tr w:rsidR="00B91C8A">
        <w:trPr>
          <w:trHeight w:val="481"/>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2023</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2024</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Dynamika %</w:t>
            </w:r>
          </w:p>
        </w:tc>
      </w:tr>
      <w:tr w:rsidR="00B91C8A">
        <w:trPr>
          <w:trHeight w:val="202"/>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Koszty działalności operacyjnej</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18 906 718</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21 294 547</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112,63%</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725 226</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861 001</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118,72%</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5"/>
              </w:numPr>
              <w:ind w:left="282" w:hanging="282"/>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1 491 183</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1 646 903</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110,44%</w:t>
            </w:r>
          </w:p>
        </w:tc>
      </w:tr>
      <w:tr w:rsidR="00B91C8A">
        <w:trPr>
          <w:trHeight w:val="7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niemedycznych</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238 228</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247 215</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103,77%</w:t>
            </w:r>
          </w:p>
        </w:tc>
      </w:tr>
      <w:tr w:rsidR="00B91C8A">
        <w:trPr>
          <w:trHeight w:val="7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Materiałów medycznych</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268 542</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378 894</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141,09%</w:t>
            </w:r>
          </w:p>
        </w:tc>
      </w:tr>
      <w:tr w:rsidR="00B91C8A">
        <w:trPr>
          <w:trHeight w:val="7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6"/>
              </w:numPr>
              <w:tabs>
                <w:tab w:val="left" w:pos="424"/>
              </w:tabs>
              <w:ind w:hanging="218"/>
              <w:jc w:val="left"/>
              <w:rPr>
                <w:color w:val="000000"/>
                <w:szCs w:val="20"/>
                <w:shd w:val="clear" w:color="auto" w:fill="FFFFFF"/>
                <w:lang w:eastAsia="en-US" w:bidi="ar-SA"/>
              </w:rPr>
            </w:pPr>
            <w:r>
              <w:rPr>
                <w:color w:val="000000"/>
                <w:szCs w:val="20"/>
                <w:shd w:val="clear" w:color="auto" w:fill="FFFFFF"/>
                <w:lang w:eastAsia="en-US" w:bidi="ar-SA"/>
              </w:rPr>
              <w:t>Energii i wody</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984 413</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1 020 794</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103,70%</w:t>
            </w:r>
          </w:p>
        </w:tc>
      </w:tr>
      <w:tr w:rsidR="00B91C8A">
        <w:trPr>
          <w:trHeight w:val="7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5"/>
              </w:numPr>
              <w:ind w:left="282"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7 457 275</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8 718 341</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116,91%</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7"/>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Usługi niemedyczne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1 048 177</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1 149 255</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109,64%</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7"/>
              </w:numPr>
              <w:spacing w:after="160" w:line="259" w:lineRule="auto"/>
              <w:contextualSpacing/>
              <w:jc w:val="left"/>
              <w:rPr>
                <w:i/>
                <w:color w:val="000000"/>
                <w:szCs w:val="20"/>
                <w:shd w:val="clear" w:color="auto" w:fill="FFFFFF"/>
                <w:lang w:val="en-US" w:eastAsia="en-US" w:bidi="ar-SA"/>
              </w:rPr>
            </w:pPr>
            <w:r>
              <w:rPr>
                <w:color w:val="000000"/>
                <w:szCs w:val="20"/>
                <w:shd w:val="clear" w:color="auto" w:fill="FFFFFF"/>
                <w:lang w:val="en-US" w:eastAsia="en-US" w:bidi="ar-SA"/>
              </w:rPr>
              <w:t>Usługi medyczne w tym: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6 409 098</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7 569 086</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118,10%</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left="566"/>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 xml:space="preserve">5 945 399 </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 xml:space="preserve">6 931 358 </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137,60%</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left="566"/>
              <w:jc w:val="left"/>
              <w:rPr>
                <w:i/>
                <w:color w:val="000000"/>
                <w:szCs w:val="20"/>
                <w:shd w:val="clear" w:color="auto" w:fill="FFFFFF"/>
                <w:lang w:eastAsia="en-US" w:bidi="ar-SA"/>
              </w:rPr>
            </w:pPr>
            <w:r>
              <w:rPr>
                <w:i/>
                <w:color w:val="000000"/>
                <w:szCs w:val="20"/>
                <w:shd w:val="clear" w:color="auto" w:fill="FFFFFF"/>
                <w:lang w:eastAsia="en-US" w:bidi="ar-SA"/>
              </w:rPr>
              <w:t>- usługi diagnostyczne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463 479</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 xml:space="preserve">637 728  </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116,58%</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57 891</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70 988</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122,62%</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7 635 823</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8 281 496</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108,46%</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9"/>
              </w:numPr>
              <w:ind w:left="599" w:hanging="283"/>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6 725 646</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7 259 884</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107,94%</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9"/>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 xml:space="preserve">wynagrodzenia umowy zlecenie </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741 194</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883 977</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119,26%</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8"/>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1 506 827</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1 664 727</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110,48%</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8"/>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32 493</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51 091</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157,24%</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18 310</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41 757</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228,06%</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2 727</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bookmarkStart w:id="4" w:name="OLE_LINK1"/>
            <w:r>
              <w:rPr>
                <w:b/>
                <w:color w:val="000000"/>
                <w:szCs w:val="20"/>
                <w:shd w:val="clear" w:color="auto" w:fill="FFFFFF"/>
                <w:lang w:eastAsia="en-US" w:bidi="ar-SA"/>
              </w:rPr>
              <w:t>1 868</w:t>
            </w:r>
            <w:bookmarkEnd w:id="4"/>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68,50%</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10"/>
              </w:numPr>
              <w:ind w:left="566" w:hanging="284"/>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2 025</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1 868</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92,25%</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numPr>
                <w:ilvl w:val="0"/>
                <w:numId w:val="11"/>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18 927 755</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21 338 172</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112,73%</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jc w:val="left"/>
              <w:rPr>
                <w:b/>
                <w:i/>
                <w:color w:val="000000"/>
                <w:szCs w:val="20"/>
                <w:shd w:val="clear" w:color="auto" w:fill="FFFFFF"/>
                <w:lang w:eastAsia="en-US" w:bidi="ar-SA"/>
              </w:rPr>
            </w:pPr>
            <w:r>
              <w:rPr>
                <w:b/>
                <w:i/>
                <w:color w:val="000000"/>
                <w:szCs w:val="20"/>
                <w:shd w:val="clear" w:color="auto" w:fill="FFFFFF"/>
                <w:lang w:eastAsia="en-US" w:bidi="ar-SA"/>
              </w:rPr>
              <w:t xml:space="preserve">Podatek dochodowy </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236</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37</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15,68%</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Koszty RAZEM (</w:t>
            </w:r>
            <w:r>
              <w:rPr>
                <w:color w:val="000000"/>
                <w:szCs w:val="20"/>
                <w:shd w:val="clear" w:color="auto" w:fill="FFFFFF"/>
                <w:lang w:eastAsia="en-US" w:bidi="ar-SA"/>
              </w:rPr>
              <w:t>z podatkiem)</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18 927 991</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21 338 209</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112,73%</w:t>
            </w:r>
          </w:p>
        </w:tc>
      </w:tr>
      <w:tr w:rsidR="00B91C8A">
        <w:trPr>
          <w:trHeight w:val="300"/>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numPr>
                <w:ilvl w:val="0"/>
                <w:numId w:val="11"/>
              </w:numPr>
              <w:ind w:left="567" w:hanging="1080"/>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2 374 936</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1 996 491</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84,07%</w:t>
            </w:r>
          </w:p>
        </w:tc>
      </w:tr>
      <w:tr w:rsidR="00B91C8A">
        <w:trPr>
          <w:trHeight w:val="324"/>
          <w:jc w:val="center"/>
        </w:trPr>
        <w:tc>
          <w:tcPr>
            <w:tcW w:w="26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jc w:val="left"/>
              <w:rPr>
                <w:b/>
                <w:i/>
                <w:color w:val="000000"/>
                <w:szCs w:val="20"/>
                <w:shd w:val="clear" w:color="auto" w:fill="FFFFFF"/>
                <w:lang w:eastAsia="en-US" w:bidi="ar-SA"/>
              </w:rPr>
            </w:pPr>
            <w:r>
              <w:rPr>
                <w:b/>
                <w:i/>
                <w:color w:val="000000"/>
                <w:szCs w:val="20"/>
                <w:shd w:val="clear" w:color="auto" w:fill="FFFFFF"/>
                <w:lang w:eastAsia="en-US" w:bidi="ar-SA"/>
              </w:rPr>
              <w:t xml:space="preserve">Wynik finansowy po dodaniu kosztów </w:t>
            </w:r>
          </w:p>
          <w:p w:rsidR="00B91C8A" w:rsidRDefault="004E7132">
            <w:pPr>
              <w:jc w:val="left"/>
              <w:rPr>
                <w:b/>
                <w:i/>
                <w:color w:val="000000"/>
                <w:szCs w:val="20"/>
                <w:shd w:val="clear" w:color="auto" w:fill="FFFFFF"/>
                <w:lang w:eastAsia="en-US" w:bidi="ar-SA"/>
              </w:rPr>
            </w:pPr>
            <w:r>
              <w:rPr>
                <w:b/>
                <w:i/>
                <w:color w:val="000000"/>
                <w:szCs w:val="20"/>
                <w:shd w:val="clear" w:color="auto" w:fill="FFFFFF"/>
                <w:lang w:eastAsia="en-US" w:bidi="ar-SA"/>
              </w:rPr>
              <w:t>amortyzacji</w:t>
            </w:r>
          </w:p>
          <w:p w:rsidR="00B91C8A" w:rsidRDefault="00B91C8A">
            <w:pPr>
              <w:jc w:val="left"/>
              <w:rPr>
                <w:b/>
                <w:i/>
                <w:color w:val="000000"/>
                <w:szCs w:val="20"/>
                <w:shd w:val="clear" w:color="auto" w:fill="FFFFFF"/>
                <w:lang w:eastAsia="en-US" w:bidi="ar-SA"/>
              </w:rPr>
            </w:pP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i/>
                <w:color w:val="000000"/>
                <w:szCs w:val="20"/>
                <w:shd w:val="clear" w:color="auto" w:fill="FFFFFF"/>
                <w:lang w:eastAsia="en-US" w:bidi="ar-SA"/>
              </w:rPr>
            </w:pPr>
          </w:p>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3 100 162</w:t>
            </w:r>
          </w:p>
        </w:tc>
        <w:tc>
          <w:tcPr>
            <w:tcW w:w="708"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i/>
                <w:color w:val="000000"/>
                <w:szCs w:val="20"/>
                <w:shd w:val="clear" w:color="auto" w:fill="FFFFFF"/>
                <w:lang w:eastAsia="en-US" w:bidi="ar-SA"/>
              </w:rPr>
            </w:pPr>
          </w:p>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2 857 492</w:t>
            </w:r>
          </w:p>
        </w:tc>
        <w:tc>
          <w:tcPr>
            <w:tcW w:w="84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B91C8A">
            <w:pPr>
              <w:jc w:val="right"/>
              <w:rPr>
                <w:b/>
                <w:i/>
                <w:color w:val="000000"/>
                <w:szCs w:val="20"/>
                <w:shd w:val="clear" w:color="auto" w:fill="FFFFFF"/>
                <w:lang w:eastAsia="en-US" w:bidi="ar-SA"/>
              </w:rPr>
            </w:pPr>
          </w:p>
          <w:p w:rsidR="00B91C8A" w:rsidRDefault="004E7132">
            <w:pPr>
              <w:jc w:val="right"/>
              <w:rPr>
                <w:b/>
                <w:i/>
                <w:color w:val="000000"/>
                <w:szCs w:val="20"/>
                <w:shd w:val="clear" w:color="auto" w:fill="FFFFFF"/>
                <w:lang w:eastAsia="en-US" w:bidi="ar-SA"/>
              </w:rPr>
            </w:pPr>
            <w:r>
              <w:rPr>
                <w:b/>
                <w:i/>
                <w:color w:val="000000"/>
                <w:szCs w:val="20"/>
                <w:shd w:val="clear" w:color="auto" w:fill="FFFFFF"/>
                <w:lang w:eastAsia="en-US" w:bidi="ar-SA"/>
              </w:rPr>
              <w:t>92,17%</w:t>
            </w:r>
          </w:p>
        </w:tc>
      </w:tr>
    </w:tbl>
    <w:p w:rsidR="00B91C8A" w:rsidRDefault="00B91C8A">
      <w:pPr>
        <w:spacing w:line="276" w:lineRule="auto"/>
        <w:jc w:val="both"/>
        <w:rPr>
          <w:b/>
          <w:color w:val="000000"/>
          <w:szCs w:val="20"/>
          <w:shd w:val="clear" w:color="auto" w:fill="FFFFFF"/>
          <w:lang w:eastAsia="en-US" w:bidi="ar-SA"/>
        </w:rPr>
      </w:pPr>
    </w:p>
    <w:p w:rsidR="00B91C8A" w:rsidRDefault="004E7132">
      <w:pPr>
        <w:spacing w:before="240" w:after="200" w:line="276" w:lineRule="auto"/>
        <w:jc w:val="both"/>
        <w:rPr>
          <w:b/>
          <w:color w:val="000000"/>
          <w:szCs w:val="20"/>
          <w:shd w:val="clear" w:color="auto" w:fill="FFFFFF"/>
          <w:lang w:eastAsia="en-US" w:bidi="ar-SA"/>
        </w:rPr>
      </w:pPr>
      <w:r>
        <w:rPr>
          <w:color w:val="000000"/>
          <w:szCs w:val="20"/>
          <w:shd w:val="clear" w:color="auto" w:fill="FFFFFF"/>
          <w:lang w:eastAsia="en-US" w:bidi="ar-SA"/>
        </w:rPr>
        <w:t>Osiągnięte w 2024 roku przychody ogółem pokrywały ponoszone przez jednostkę koszty ogółem. Jednostka równoważyła ponoszone koszty osiąganymi przychodami. Działalność jednostki za 2024 rok należy uznać za rentowną.</w:t>
      </w:r>
    </w:p>
    <w:p w:rsidR="00B91C8A" w:rsidRDefault="004E7132">
      <w:pPr>
        <w:tabs>
          <w:tab w:val="left" w:pos="360"/>
        </w:tabs>
        <w:spacing w:after="200" w:line="276" w:lineRule="auto"/>
        <w:jc w:val="both"/>
        <w:rPr>
          <w:color w:val="000000"/>
          <w:szCs w:val="20"/>
          <w:shd w:val="clear" w:color="auto" w:fill="FFFFFF"/>
          <w:lang w:eastAsia="en-US" w:bidi="ar-SA"/>
        </w:rPr>
      </w:pPr>
      <w:bookmarkStart w:id="5" w:name="_Hlk172629504"/>
      <w:r>
        <w:rPr>
          <w:color w:val="000000"/>
          <w:szCs w:val="20"/>
          <w:shd w:val="clear" w:color="auto" w:fill="FFFFFF"/>
          <w:lang w:eastAsia="en-US" w:bidi="ar-SA"/>
        </w:rPr>
        <w:t>W roku 2024 MCM „Widzew” w Łodzi:</w:t>
      </w:r>
    </w:p>
    <w:p w:rsidR="00B91C8A" w:rsidRDefault="004E7132">
      <w:pPr>
        <w:numPr>
          <w:ilvl w:val="0"/>
          <w:numId w:val="12"/>
        </w:numPr>
        <w:tabs>
          <w:tab w:val="left" w:pos="360"/>
        </w:tabs>
        <w:spacing w:after="200" w:line="276" w:lineRule="auto"/>
        <w:ind w:left="284"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uzyskał</w:t>
      </w:r>
      <w:r>
        <w:rPr>
          <w:b/>
          <w:color w:val="000000"/>
          <w:szCs w:val="20"/>
          <w:shd w:val="clear" w:color="auto" w:fill="FFFFFF"/>
          <w:lang w:val="en-US" w:eastAsia="en-US" w:bidi="en-US"/>
        </w:rPr>
        <w:t>o</w:t>
      </w:r>
      <w:r>
        <w:rPr>
          <w:b/>
          <w:color w:val="000000"/>
          <w:szCs w:val="20"/>
          <w:shd w:val="clear" w:color="auto" w:fill="FFFFFF"/>
          <w:lang w:val="en-US" w:eastAsia="en-US" w:bidi="ar-SA"/>
        </w:rPr>
        <w:t xml:space="preserve"> przychody</w:t>
      </w:r>
      <w:r>
        <w:rPr>
          <w:color w:val="000000"/>
          <w:szCs w:val="20"/>
          <w:shd w:val="clear" w:color="auto" w:fill="FFFFFF"/>
          <w:lang w:val="en-US" w:eastAsia="en-US" w:bidi="ar-SA"/>
        </w:rPr>
        <w:t xml:space="preserve"> w wysokości ogółem </w:t>
      </w:r>
      <w:bookmarkEnd w:id="5"/>
      <w:r>
        <w:rPr>
          <w:color w:val="000000"/>
          <w:szCs w:val="20"/>
          <w:shd w:val="clear" w:color="auto" w:fill="FFFFFF"/>
          <w:lang w:val="en-US" w:eastAsia="en-US" w:bidi="ar-SA"/>
        </w:rPr>
        <w:t xml:space="preserve">23.579.242 zł, </w:t>
      </w:r>
      <w:bookmarkStart w:id="6" w:name="_Hlk172630106"/>
      <w:r>
        <w:rPr>
          <w:color w:val="000000"/>
          <w:szCs w:val="20"/>
          <w:shd w:val="clear" w:color="auto" w:fill="FFFFFF"/>
          <w:lang w:val="en-US" w:eastAsia="en-US" w:bidi="ar-SA"/>
        </w:rPr>
        <w:t>które wzrosły w porównaniu do przychodów uzyskanych w roku 2023 o</w:t>
      </w:r>
      <w:bookmarkEnd w:id="6"/>
      <w:r>
        <w:rPr>
          <w:color w:val="000000"/>
          <w:szCs w:val="20"/>
          <w:shd w:val="clear" w:color="auto" w:fill="FFFFFF"/>
          <w:lang w:val="en-US" w:eastAsia="en-US" w:bidi="ar-SA"/>
        </w:rPr>
        <w:t xml:space="preserve"> 9,90%, co stanowiło kwotę 2.124.156 zł z tego:</w:t>
      </w:r>
    </w:p>
    <w:p w:rsidR="00B91C8A" w:rsidRDefault="004E7132">
      <w:pPr>
        <w:numPr>
          <w:ilvl w:val="0"/>
          <w:numId w:val="13"/>
        </w:numPr>
        <w:tabs>
          <w:tab w:val="left" w:pos="360"/>
        </w:tabs>
        <w:spacing w:after="200" w:line="276" w:lineRule="auto"/>
        <w:ind w:left="284" w:hanging="284"/>
        <w:contextualSpacing/>
        <w:jc w:val="both"/>
        <w:rPr>
          <w:color w:val="000000"/>
          <w:szCs w:val="20"/>
          <w:shd w:val="clear" w:color="auto" w:fill="FFFFFF"/>
          <w:lang w:eastAsia="en-US" w:bidi="ar-SA"/>
        </w:rPr>
      </w:pPr>
      <w:r>
        <w:rPr>
          <w:color w:val="000000"/>
          <w:szCs w:val="20"/>
          <w:u w:val="single"/>
          <w:shd w:val="clear" w:color="auto" w:fill="FFFFFF"/>
          <w:lang w:eastAsia="en-US" w:bidi="ar-SA"/>
        </w:rPr>
        <w:t>przychody netto ze sprzedaży</w:t>
      </w:r>
      <w:r>
        <w:rPr>
          <w:color w:val="000000"/>
          <w:szCs w:val="20"/>
          <w:shd w:val="clear" w:color="auto" w:fill="FFFFFF"/>
          <w:lang w:eastAsia="en-US" w:bidi="ar-SA"/>
        </w:rPr>
        <w:t xml:space="preserve">  stanowiły kwotę 36.848.072 zł i wzrosły w porównaniu do roku 2023 o 12,10%, tj. o kwotę 3.976.526 zł z tego: </w:t>
      </w:r>
      <w:bookmarkStart w:id="7" w:name="_Hlk172630204"/>
    </w:p>
    <w:p w:rsidR="00B91C8A" w:rsidRDefault="004E7132">
      <w:pPr>
        <w:numPr>
          <w:ilvl w:val="0"/>
          <w:numId w:val="14"/>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 xml:space="preserve">przychody uzyskane w ramach umowy z NFZ stanowiły kwotę 20.954.746 zł, wzrosły </w:t>
      </w:r>
      <w:r>
        <w:rPr>
          <w:color w:val="000000"/>
          <w:szCs w:val="20"/>
          <w:shd w:val="clear" w:color="auto" w:fill="FFFFFF"/>
          <w:lang w:val="en-US" w:eastAsia="en-US" w:bidi="ar-SA"/>
        </w:rPr>
        <w:br/>
        <w:t>o 9,33%</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1.788.046 zł; przychody z NFZ stanowiły 88,87% wszystkich uzyskanych w roku 2024 przychodów;</w:t>
      </w:r>
    </w:p>
    <w:p w:rsidR="00B91C8A" w:rsidRDefault="004E7132">
      <w:pPr>
        <w:numPr>
          <w:ilvl w:val="0"/>
          <w:numId w:val="14"/>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lastRenderedPageBreak/>
        <w:t>realizacja profilaktycznych działań zdrowotnych i programów profilaktycznych - uzyskana kwota 299.700 zł, wzrosły o 111.801 zł, tj. 59,50%, przychody stanowią 1,27% wszystkich uzyskanych w 2024 roku przychodów;</w:t>
      </w:r>
    </w:p>
    <w:p w:rsidR="00B91C8A" w:rsidRDefault="004E7132">
      <w:pPr>
        <w:numPr>
          <w:ilvl w:val="0"/>
          <w:numId w:val="14"/>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pozostała sprzedaż usług medycznych – uzyskana kwota 518.390 zł, wzrosła o 83.399</w:t>
      </w:r>
      <w:r>
        <w:rPr>
          <w:color w:val="000000"/>
          <w:szCs w:val="20"/>
          <w:shd w:val="clear" w:color="auto" w:fill="FFFFFF"/>
          <w:lang w:eastAsia="en-US" w:bidi="ar-SA"/>
        </w:rPr>
        <w:t> </w:t>
      </w:r>
      <w:r>
        <w:rPr>
          <w:color w:val="000000"/>
          <w:szCs w:val="20"/>
          <w:shd w:val="clear" w:color="auto" w:fill="FFFFFF"/>
          <w:lang w:val="en-US" w:eastAsia="en-US" w:bidi="ar-SA"/>
        </w:rPr>
        <w:t>zł, tj. o 19,17%; przychody stanowią 2,20% wszystkich uzyskanych w 2024 roku przychodów;</w:t>
      </w:r>
    </w:p>
    <w:p w:rsidR="00B91C8A" w:rsidRDefault="004E7132">
      <w:pPr>
        <w:numPr>
          <w:ilvl w:val="0"/>
          <w:numId w:val="14"/>
        </w:numPr>
        <w:tabs>
          <w:tab w:val="left" w:pos="360"/>
        </w:tabs>
        <w:spacing w:after="200" w:line="276" w:lineRule="auto"/>
        <w:ind w:left="709" w:hanging="425"/>
        <w:contextualSpacing/>
        <w:jc w:val="both"/>
        <w:rPr>
          <w:color w:val="000000"/>
          <w:szCs w:val="20"/>
          <w:shd w:val="clear" w:color="auto" w:fill="FFFFFF"/>
          <w:lang w:eastAsia="en-US" w:bidi="ar-SA"/>
        </w:rPr>
      </w:pPr>
      <w:r>
        <w:rPr>
          <w:color w:val="000000"/>
          <w:szCs w:val="20"/>
          <w:shd w:val="clear" w:color="auto" w:fill="FFFFFF"/>
          <w:lang w:val="en-US" w:eastAsia="en-US" w:bidi="ar-SA"/>
        </w:rPr>
        <w:t>wynajem pomieszczeń - uzyskana kwota 1.176.779 zł, wzrósł o 59.994 zł</w:t>
      </w:r>
      <w:r>
        <w:rPr>
          <w:color w:val="000000"/>
          <w:szCs w:val="20"/>
          <w:shd w:val="clear" w:color="auto" w:fill="FFFFFF"/>
          <w:lang w:eastAsia="en-US" w:bidi="ar-SA"/>
        </w:rPr>
        <w:t>,</w:t>
      </w:r>
      <w:r>
        <w:rPr>
          <w:color w:val="000000"/>
          <w:szCs w:val="20"/>
          <w:shd w:val="clear" w:color="auto" w:fill="FFFFFF"/>
          <w:lang w:val="en-US" w:eastAsia="en-US" w:bidi="ar-SA"/>
        </w:rPr>
        <w:t xml:space="preserve"> tj. o 5,37%; przychody stanowią 4,99% wszystkich uzyskanych w 2024 roku przychodów;</w:t>
      </w:r>
    </w:p>
    <w:p w:rsidR="00B91C8A" w:rsidRDefault="004E7132">
      <w:pPr>
        <w:numPr>
          <w:ilvl w:val="0"/>
          <w:numId w:val="13"/>
        </w:numPr>
        <w:tabs>
          <w:tab w:val="left" w:pos="360"/>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pozostałe przychody operacyjne</w:t>
      </w:r>
      <w:r>
        <w:rPr>
          <w:color w:val="000000"/>
          <w:szCs w:val="20"/>
          <w:shd w:val="clear" w:color="auto" w:fill="FFFFFF"/>
          <w:lang w:val="en-US" w:eastAsia="en-US" w:bidi="ar-SA"/>
        </w:rPr>
        <w:t xml:space="preserve"> – uzyskana kwota 407.817 zł, wzrosły o 49.177 zł, </w:t>
      </w:r>
      <w:r>
        <w:rPr>
          <w:color w:val="000000"/>
          <w:szCs w:val="20"/>
          <w:shd w:val="clear" w:color="auto" w:fill="FFFFFF"/>
        </w:rPr>
        <w:br/>
      </w:r>
      <w:r>
        <w:rPr>
          <w:color w:val="000000"/>
          <w:szCs w:val="20"/>
          <w:shd w:val="clear" w:color="auto" w:fill="FFFFFF"/>
          <w:lang w:val="en-US" w:eastAsia="en-US" w:bidi="ar-SA"/>
        </w:rPr>
        <w:t>tj. o 13,71%; przychody stanowią 1,73% wszystkich uzyskanych w 2024 roku przychodów (dotyczą głównie przychodów z tytułu amortyzacji w wysokości 257.719 zł, darowizn w wysokości 92.183 zł</w:t>
      </w:r>
      <w:r>
        <w:rPr>
          <w:color w:val="000000"/>
          <w:szCs w:val="20"/>
          <w:shd w:val="clear" w:color="auto" w:fill="FFFFFF"/>
          <w:lang w:eastAsia="en-US" w:bidi="ar-SA"/>
        </w:rPr>
        <w:t xml:space="preserve">- kwota </w:t>
      </w:r>
      <w:r>
        <w:rPr>
          <w:color w:val="000000"/>
          <w:szCs w:val="20"/>
          <w:shd w:val="clear" w:color="auto" w:fill="FFFFFF"/>
          <w:lang w:val="en-US" w:eastAsia="en-US" w:bidi="ar-SA"/>
        </w:rPr>
        <w:t xml:space="preserve"> </w:t>
      </w:r>
      <w:r>
        <w:rPr>
          <w:color w:val="000000"/>
          <w:szCs w:val="20"/>
          <w:shd w:val="clear" w:color="auto" w:fill="FFFFFF"/>
          <w:lang w:eastAsia="en-US" w:bidi="ar-SA"/>
        </w:rPr>
        <w:t>darowizn dotyczyła: w 2022 roku</w:t>
      </w:r>
      <w:r>
        <w:rPr>
          <w:color w:val="000000"/>
          <w:szCs w:val="20"/>
          <w:shd w:val="clear" w:color="auto" w:fill="FFFFFF"/>
          <w:lang w:val="en-US" w:eastAsia="en-US" w:bidi="ar-SA"/>
        </w:rPr>
        <w:t xml:space="preserve"> na walkę z COVID-19 w ramach Projektu „Wsparcie podmiotów leczniczych w walce z wirusem SARS-CoV-2” współfinansowanego ze środków Unii Europejskiej jednostka otrzymała dotację w wysokości 169.383,93 zł; w roku 2024 na pozostałych przychodach operacyjnych zaksięgowana kwota 92.182,58 zł, </w:t>
      </w:r>
      <w:r>
        <w:rPr>
          <w:color w:val="000000"/>
          <w:szCs w:val="20"/>
          <w:shd w:val="clear" w:color="auto" w:fill="FFFFFF"/>
          <w:lang w:eastAsia="en-US" w:bidi="ar-SA"/>
        </w:rPr>
        <w:t xml:space="preserve">na dzień 31.12.2024 r. </w:t>
      </w:r>
      <w:r>
        <w:rPr>
          <w:color w:val="000000"/>
          <w:szCs w:val="20"/>
          <w:shd w:val="clear" w:color="auto" w:fill="FFFFFF"/>
          <w:lang w:val="en-US" w:eastAsia="en-US" w:bidi="ar-SA"/>
        </w:rPr>
        <w:t>zapasy materiałów dot</w:t>
      </w:r>
      <w:r>
        <w:rPr>
          <w:color w:val="000000"/>
          <w:szCs w:val="20"/>
          <w:shd w:val="clear" w:color="auto" w:fill="FFFFFF"/>
          <w:lang w:eastAsia="en-US" w:bidi="ar-SA"/>
        </w:rPr>
        <w:t>yczące</w:t>
      </w:r>
      <w:r>
        <w:rPr>
          <w:color w:val="000000"/>
          <w:szCs w:val="20"/>
          <w:shd w:val="clear" w:color="auto" w:fill="FFFFFF"/>
          <w:lang w:val="en-US" w:eastAsia="en-US" w:bidi="ar-SA"/>
        </w:rPr>
        <w:t xml:space="preserve"> ww. projektu zostały zużyte i wynoszą „0”);</w:t>
      </w:r>
    </w:p>
    <w:p w:rsidR="00B91C8A" w:rsidRDefault="004E7132">
      <w:pPr>
        <w:numPr>
          <w:ilvl w:val="0"/>
          <w:numId w:val="13"/>
        </w:numPr>
        <w:tabs>
          <w:tab w:val="left" w:pos="284"/>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eastAsia="en-US" w:bidi="ar-SA"/>
        </w:rPr>
        <w:t>przychody finansowe</w:t>
      </w:r>
      <w:r>
        <w:rPr>
          <w:color w:val="000000"/>
          <w:szCs w:val="20"/>
          <w:shd w:val="clear" w:color="auto" w:fill="FFFFFF"/>
          <w:lang w:eastAsia="en-US" w:bidi="ar-SA"/>
        </w:rPr>
        <w:t xml:space="preserve"> – uzyskana kwota 221.810 zł, wzrosła o 31.739 zł, tj. o 16,70%; przychody stanowią 0,94% wszystkich uzyskanych w 2024 roku przychodów (dotyczyły głównie odsetek uzyskanych od lokat bankowych kwota 219.960 zł)</w:t>
      </w:r>
      <w:r>
        <w:rPr>
          <w:color w:val="000000"/>
          <w:szCs w:val="20"/>
          <w:shd w:val="clear" w:color="auto" w:fill="FFFFFF"/>
        </w:rPr>
        <w:t>;</w:t>
      </w:r>
    </w:p>
    <w:p w:rsidR="00B91C8A" w:rsidRDefault="004E7132">
      <w:pPr>
        <w:numPr>
          <w:ilvl w:val="0"/>
          <w:numId w:val="13"/>
        </w:numPr>
        <w:tabs>
          <w:tab w:val="left" w:pos="284"/>
        </w:tabs>
        <w:spacing w:after="16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eastAsia="en-US" w:bidi="ar-SA"/>
        </w:rPr>
        <w:t>zmiana stanu produktów,</w:t>
      </w:r>
      <w:r>
        <w:rPr>
          <w:color w:val="000000"/>
          <w:szCs w:val="20"/>
          <w:shd w:val="clear" w:color="auto" w:fill="FFFFFF"/>
          <w:lang w:eastAsia="en-US" w:bidi="ar-SA"/>
        </w:rPr>
        <w:t xml:space="preserve"> która uzyskała wartość (-)244.542 zł, </w:t>
      </w:r>
      <w:r>
        <w:rPr>
          <w:color w:val="000000"/>
          <w:szCs w:val="20"/>
          <w:shd w:val="clear" w:color="auto" w:fill="FFFFFF"/>
          <w:lang w:val="en-US" w:eastAsia="en-US" w:bidi="ar-SA"/>
        </w:rPr>
        <w:t>zmniejsz</w:t>
      </w:r>
      <w:r>
        <w:rPr>
          <w:color w:val="000000"/>
          <w:szCs w:val="20"/>
          <w:shd w:val="clear" w:color="auto" w:fill="FFFFFF"/>
          <w:lang w:eastAsia="en-US" w:bidi="ar-SA"/>
        </w:rPr>
        <w:t>yła</w:t>
      </w:r>
      <w:r>
        <w:rPr>
          <w:color w:val="000000"/>
          <w:szCs w:val="20"/>
          <w:shd w:val="clear" w:color="auto" w:fill="FFFFFF"/>
          <w:lang w:val="en-US" w:eastAsia="en-US" w:bidi="ar-SA"/>
        </w:rPr>
        <w:t xml:space="preserve"> tym samym uzyskane przychody</w:t>
      </w:r>
      <w:bookmarkStart w:id="8" w:name="_Hlk172130035"/>
      <w:bookmarkEnd w:id="7"/>
      <w:r>
        <w:rPr>
          <w:color w:val="000000"/>
          <w:szCs w:val="20"/>
          <w:shd w:val="clear" w:color="auto" w:fill="FFFFFF"/>
          <w:lang w:eastAsia="en-US" w:bidi="ar-SA"/>
        </w:rPr>
        <w:t xml:space="preserve"> i </w:t>
      </w:r>
      <w:r>
        <w:rPr>
          <w:color w:val="000000"/>
          <w:szCs w:val="20"/>
          <w:shd w:val="clear" w:color="auto" w:fill="FFFFFF"/>
          <w:lang w:val="en-US" w:eastAsia="en-US" w:bidi="ar-SA"/>
        </w:rPr>
        <w:t>wynikała z zaktualizowania wartości rezerw, które</w:t>
      </w:r>
      <w:r>
        <w:rPr>
          <w:color w:val="000000"/>
          <w:szCs w:val="20"/>
          <w:shd w:val="clear" w:color="auto" w:fill="FFFFFF"/>
          <w:lang w:eastAsia="en-US" w:bidi="ar-SA"/>
        </w:rPr>
        <w:t>j</w:t>
      </w:r>
      <w:r>
        <w:rPr>
          <w:color w:val="000000"/>
          <w:szCs w:val="20"/>
          <w:shd w:val="clear" w:color="auto" w:fill="FFFFFF"/>
          <w:lang w:val="en-US" w:eastAsia="en-US" w:bidi="ar-SA"/>
        </w:rPr>
        <w:t xml:space="preserve"> dokonano na podstawie wyceny aktuarialnej</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zmiana stanu produktów wpłynęła na zmniejszenie przychodów roku 2024, a tym samym na wynik finansowy netto jednostki. </w:t>
      </w:r>
    </w:p>
    <w:p w:rsidR="00B91C8A" w:rsidRDefault="004E7132">
      <w:pPr>
        <w:tabs>
          <w:tab w:val="left" w:pos="284"/>
        </w:tabs>
        <w:spacing w:line="276" w:lineRule="auto"/>
        <w:jc w:val="both"/>
        <w:rPr>
          <w:color w:val="000000"/>
          <w:szCs w:val="20"/>
          <w:u w:val="single"/>
          <w:shd w:val="clear" w:color="auto" w:fill="FFFFFF"/>
          <w:lang w:bidi="ar-SA"/>
        </w:rPr>
      </w:pPr>
      <w:r>
        <w:rPr>
          <w:color w:val="000000"/>
          <w:szCs w:val="20"/>
          <w:shd w:val="clear" w:color="auto" w:fill="FFFFFF"/>
          <w:lang w:bidi="ar-SA"/>
        </w:rPr>
        <w:t xml:space="preserve">Uwzględniając pozycję zmiana stanu produktów (wartość ujemna) </w:t>
      </w:r>
      <w:r>
        <w:rPr>
          <w:color w:val="000000"/>
          <w:szCs w:val="20"/>
          <w:u w:val="single"/>
          <w:shd w:val="clear" w:color="auto" w:fill="FFFFFF"/>
          <w:lang w:bidi="ar-SA"/>
        </w:rPr>
        <w:t xml:space="preserve">przychody ogółem roku 2024 wyniosły 23.334.700 zł i wzrosły w porównaniu do roku 2023 o 9,54%, co stanowiło kwotę 2.031.773 zł.  </w:t>
      </w:r>
    </w:p>
    <w:p w:rsidR="00B91C8A" w:rsidRDefault="00B91C8A">
      <w:pPr>
        <w:tabs>
          <w:tab w:val="left" w:pos="360"/>
        </w:tabs>
        <w:spacing w:line="276" w:lineRule="auto"/>
        <w:jc w:val="both"/>
        <w:rPr>
          <w:color w:val="000000"/>
          <w:szCs w:val="20"/>
          <w:shd w:val="clear" w:color="auto" w:fill="FFFFFF"/>
          <w:lang w:eastAsia="en-US" w:bidi="ar-SA"/>
        </w:rPr>
      </w:pPr>
    </w:p>
    <w:p w:rsidR="00B91C8A" w:rsidRDefault="004E7132">
      <w:pPr>
        <w:numPr>
          <w:ilvl w:val="0"/>
          <w:numId w:val="12"/>
        </w:numPr>
        <w:tabs>
          <w:tab w:val="left" w:pos="360"/>
        </w:tabs>
        <w:spacing w:after="200" w:line="276" w:lineRule="auto"/>
        <w:ind w:left="142" w:hanging="142"/>
        <w:contextualSpacing/>
        <w:jc w:val="both"/>
        <w:rPr>
          <w:color w:val="000000"/>
          <w:szCs w:val="20"/>
          <w:shd w:val="clear" w:color="auto" w:fill="FFFFFF"/>
          <w:lang w:val="en-US" w:eastAsia="en-US" w:bidi="ar-SA"/>
        </w:rPr>
      </w:pPr>
      <w:bookmarkStart w:id="9" w:name="_Hlk172630363"/>
      <w:bookmarkEnd w:id="8"/>
      <w:r>
        <w:rPr>
          <w:b/>
          <w:color w:val="000000"/>
          <w:szCs w:val="20"/>
          <w:u w:val="single"/>
          <w:shd w:val="clear" w:color="auto" w:fill="FFFFFF"/>
          <w:lang w:eastAsia="en-US" w:bidi="ar-SA"/>
        </w:rPr>
        <w:t>poniosło</w:t>
      </w:r>
      <w:r>
        <w:rPr>
          <w:b/>
          <w:color w:val="000000"/>
          <w:szCs w:val="20"/>
          <w:u w:val="single"/>
          <w:shd w:val="clear" w:color="auto" w:fill="FFFFFF"/>
          <w:lang w:val="en-US" w:eastAsia="en-US" w:bidi="ar-SA"/>
        </w:rPr>
        <w:t xml:space="preserve"> koszty ogółem</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w </w:t>
      </w:r>
      <w:r>
        <w:rPr>
          <w:color w:val="000000"/>
          <w:szCs w:val="20"/>
          <w:shd w:val="clear" w:color="auto" w:fill="FFFFFF"/>
          <w:lang w:val="en-US" w:eastAsia="en-US" w:bidi="ar-SA"/>
        </w:rPr>
        <w:t xml:space="preserve">roku 2024 (z podatkiem dochodowym) </w:t>
      </w:r>
      <w:r>
        <w:rPr>
          <w:color w:val="000000"/>
          <w:szCs w:val="20"/>
          <w:shd w:val="clear" w:color="auto" w:fill="FFFFFF"/>
          <w:lang w:eastAsia="en-US" w:bidi="ar-SA"/>
        </w:rPr>
        <w:t xml:space="preserve"> w wysokości</w:t>
      </w:r>
      <w:r>
        <w:rPr>
          <w:color w:val="000000"/>
          <w:szCs w:val="20"/>
          <w:shd w:val="clear" w:color="auto" w:fill="FFFFFF"/>
          <w:lang w:val="en-US" w:eastAsia="en-US" w:bidi="ar-SA"/>
        </w:rPr>
        <w:t xml:space="preserve"> 21.338.209 zł</w:t>
      </w:r>
      <w:r>
        <w:rPr>
          <w:color w:val="000000"/>
          <w:szCs w:val="20"/>
          <w:shd w:val="clear" w:color="auto" w:fill="FFFFFF"/>
          <w:lang w:eastAsia="en-US" w:bidi="ar-SA"/>
        </w:rPr>
        <w:t>, które</w:t>
      </w:r>
      <w:r>
        <w:rPr>
          <w:color w:val="000000"/>
          <w:szCs w:val="20"/>
          <w:shd w:val="clear" w:color="auto" w:fill="FFFFFF"/>
          <w:lang w:val="en-US" w:eastAsia="en-US" w:bidi="ar-SA"/>
        </w:rPr>
        <w:t xml:space="preserve"> w porównaniu do roku 2023 wzrosły o 12,73%</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2.410.218 zł z tego: </w:t>
      </w:r>
      <w:bookmarkEnd w:id="9"/>
    </w:p>
    <w:p w:rsidR="00B91C8A" w:rsidRDefault="00B91C8A">
      <w:pPr>
        <w:spacing w:after="200" w:line="276" w:lineRule="auto"/>
        <w:ind w:left="142"/>
        <w:contextualSpacing/>
        <w:jc w:val="both"/>
        <w:rPr>
          <w:color w:val="000000"/>
          <w:szCs w:val="20"/>
          <w:shd w:val="clear" w:color="auto" w:fill="FFFFFF"/>
          <w:lang w:val="en-US" w:eastAsia="en-US" w:bidi="ar-SA"/>
        </w:rPr>
      </w:pPr>
    </w:p>
    <w:p w:rsidR="00B91C8A" w:rsidRDefault="004E7132">
      <w:pPr>
        <w:numPr>
          <w:ilvl w:val="0"/>
          <w:numId w:val="15"/>
        </w:numPr>
        <w:tabs>
          <w:tab w:val="left" w:pos="360"/>
        </w:tabs>
        <w:spacing w:after="200" w:line="276"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działalności operacyjnej</w:t>
      </w:r>
      <w:r>
        <w:rPr>
          <w:color w:val="000000"/>
          <w:szCs w:val="20"/>
          <w:shd w:val="clear" w:color="auto" w:fill="FFFFFF"/>
          <w:lang w:val="en-US" w:eastAsia="en-US" w:bidi="ar-SA"/>
        </w:rPr>
        <w:t xml:space="preserve"> stanowiły kwotę 21.294.547 zł i wzrosły w porównaniu do roku 2023 o 12,63%</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2.387.829 zł. </w:t>
      </w:r>
    </w:p>
    <w:p w:rsidR="00B91C8A" w:rsidRDefault="004E7132">
      <w:pPr>
        <w:tabs>
          <w:tab w:val="left" w:pos="360"/>
        </w:tabs>
        <w:spacing w:line="276" w:lineRule="auto"/>
        <w:jc w:val="both"/>
        <w:rPr>
          <w:color w:val="000000"/>
          <w:szCs w:val="20"/>
          <w:shd w:val="clear" w:color="auto" w:fill="FFFFFF"/>
          <w:lang w:eastAsia="en-US" w:bidi="ar-SA"/>
        </w:rPr>
      </w:pPr>
      <w:r>
        <w:rPr>
          <w:color w:val="000000"/>
          <w:szCs w:val="20"/>
          <w:shd w:val="clear" w:color="auto" w:fill="FFFFFF"/>
          <w:lang w:eastAsia="en-US" w:bidi="ar-SA"/>
        </w:rPr>
        <w:t>Najwyższy wzrost kosztów działalności operacyjnej roku 2024 w porównaniu do roku 2023 dotyczył:</w:t>
      </w:r>
    </w:p>
    <w:p w:rsidR="00B91C8A" w:rsidRDefault="004E7132">
      <w:pPr>
        <w:numPr>
          <w:ilvl w:val="0"/>
          <w:numId w:val="16"/>
        </w:numPr>
        <w:tabs>
          <w:tab w:val="left" w:pos="360"/>
        </w:tabs>
        <w:spacing w:after="160" w:line="276"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kosztów pracy</w:t>
      </w:r>
      <w:r>
        <w:rPr>
          <w:color w:val="000000"/>
          <w:szCs w:val="20"/>
          <w:shd w:val="clear" w:color="auto" w:fill="FFFFFF"/>
          <w:lang w:val="en-US" w:eastAsia="en-US" w:bidi="ar-SA"/>
        </w:rPr>
        <w:t>, które wyniosły 16.877.581 zł i w porównaniu do roku 2023 wzrosły o 11,86%</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1.789.532 zł </w:t>
      </w:r>
      <w:r>
        <w:rPr>
          <w:color w:val="000000"/>
          <w:szCs w:val="20"/>
          <w:shd w:val="clear" w:color="auto" w:fill="FFFFFF"/>
          <w:lang w:val="en-US" w:eastAsia="en-US" w:bidi="en-US"/>
        </w:rPr>
        <w:t xml:space="preserve">z </w:t>
      </w:r>
      <w:r>
        <w:rPr>
          <w:color w:val="000000"/>
          <w:szCs w:val="20"/>
          <w:shd w:val="clear" w:color="auto" w:fill="FFFFFF"/>
          <w:lang w:val="en-US" w:eastAsia="en-US" w:bidi="ar-SA"/>
        </w:rPr>
        <w:t xml:space="preserve">tego: </w:t>
      </w:r>
    </w:p>
    <w:p w:rsidR="00B91C8A" w:rsidRDefault="004E7132">
      <w:pPr>
        <w:numPr>
          <w:ilvl w:val="0"/>
          <w:numId w:val="17"/>
        </w:numPr>
        <w:tabs>
          <w:tab w:val="left" w:pos="360"/>
        </w:tabs>
        <w:spacing w:line="276" w:lineRule="auto"/>
        <w:ind w:right="-142"/>
        <w:jc w:val="both"/>
        <w:rPr>
          <w:color w:val="000000"/>
          <w:szCs w:val="20"/>
          <w:shd w:val="clear" w:color="auto" w:fill="FFFFFF"/>
          <w:lang w:eastAsia="en-US" w:bidi="ar-SA"/>
        </w:rPr>
      </w:pPr>
      <w:r>
        <w:rPr>
          <w:color w:val="000000"/>
          <w:szCs w:val="20"/>
          <w:shd w:val="clear" w:color="auto" w:fill="FFFFFF"/>
          <w:lang w:eastAsia="en-US" w:bidi="ar-SA"/>
        </w:rPr>
        <w:t xml:space="preserve">koszty umów z personelem medycznym wzrost o 16,58%, co stanowi kwotę 985.959 zł </w:t>
      </w:r>
      <w:r>
        <w:rPr>
          <w:color w:val="000000"/>
          <w:szCs w:val="20"/>
          <w:shd w:val="clear" w:color="auto" w:fill="FFFFFF"/>
        </w:rPr>
        <w:br/>
      </w:r>
      <w:r>
        <w:rPr>
          <w:color w:val="000000"/>
          <w:szCs w:val="20"/>
          <w:shd w:val="clear" w:color="auto" w:fill="FFFFFF"/>
          <w:lang w:eastAsia="en-US" w:bidi="ar-SA"/>
        </w:rPr>
        <w:t xml:space="preserve">(z kwoty 5.945.399 zł na kwotę 6.931.358 zł), </w:t>
      </w:r>
    </w:p>
    <w:p w:rsidR="00B91C8A" w:rsidRDefault="004E7132">
      <w:pPr>
        <w:numPr>
          <w:ilvl w:val="0"/>
          <w:numId w:val="17"/>
        </w:numPr>
        <w:tabs>
          <w:tab w:val="left" w:pos="360"/>
        </w:tabs>
        <w:spacing w:line="276" w:lineRule="auto"/>
        <w:ind w:right="-142"/>
        <w:jc w:val="both"/>
        <w:rPr>
          <w:color w:val="000000"/>
          <w:szCs w:val="20"/>
          <w:shd w:val="clear" w:color="auto" w:fill="FFFFFF"/>
          <w:lang w:eastAsia="en-US" w:bidi="ar-SA"/>
        </w:rPr>
      </w:pPr>
      <w:r>
        <w:rPr>
          <w:color w:val="000000"/>
          <w:szCs w:val="20"/>
          <w:shd w:val="clear" w:color="auto" w:fill="FFFFFF"/>
          <w:lang w:eastAsia="en-US" w:bidi="ar-SA"/>
        </w:rPr>
        <w:t>koszty wynagrodzeń wzrost o 8,46%, co stanowi kwotę 645.673 zł (z kwoty 7.635.823 zł na kwotę 8.281.496 zł),</w:t>
      </w:r>
    </w:p>
    <w:p w:rsidR="00B91C8A" w:rsidRDefault="004E7132">
      <w:pPr>
        <w:numPr>
          <w:ilvl w:val="0"/>
          <w:numId w:val="17"/>
        </w:numPr>
        <w:tabs>
          <w:tab w:val="left" w:pos="360"/>
        </w:tabs>
        <w:spacing w:line="276" w:lineRule="auto"/>
        <w:ind w:right="-142"/>
        <w:jc w:val="both"/>
        <w:rPr>
          <w:color w:val="000000"/>
          <w:szCs w:val="20"/>
          <w:shd w:val="clear" w:color="auto" w:fill="FFFFFF"/>
          <w:lang w:eastAsia="en-US" w:bidi="ar-SA"/>
        </w:rPr>
      </w:pPr>
      <w:r>
        <w:rPr>
          <w:color w:val="000000"/>
          <w:szCs w:val="20"/>
          <w:shd w:val="clear" w:color="auto" w:fill="FFFFFF"/>
          <w:lang w:eastAsia="en-US" w:bidi="ar-SA"/>
        </w:rPr>
        <w:t>koszty ubezpieczeń społecznych i innych świadczeń wzrost o 10,48%, co stanowi kwotę 157.900 zł (z kwoty 1.506.827 zł na kwotę 1.664.727 zł)</w:t>
      </w:r>
      <w:r>
        <w:rPr>
          <w:color w:val="000000"/>
          <w:szCs w:val="20"/>
          <w:shd w:val="clear" w:color="auto" w:fill="FFFFFF"/>
        </w:rPr>
        <w:t>;</w:t>
      </w:r>
    </w:p>
    <w:p w:rsidR="00B91C8A" w:rsidRDefault="004E7132">
      <w:pPr>
        <w:numPr>
          <w:ilvl w:val="0"/>
          <w:numId w:val="16"/>
        </w:numPr>
        <w:spacing w:after="160" w:afterAutospacing="1" w:line="259"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lastRenderedPageBreak/>
        <w:t>kosztów energii i wody</w:t>
      </w:r>
      <w:r>
        <w:rPr>
          <w:color w:val="000000"/>
          <w:szCs w:val="20"/>
          <w:shd w:val="clear" w:color="auto" w:fill="FFFFFF"/>
          <w:lang w:val="en-US" w:eastAsia="en-US" w:bidi="ar-SA"/>
        </w:rPr>
        <w:t xml:space="preserve">, </w:t>
      </w:r>
      <w:bookmarkStart w:id="10" w:name="_Hlk172805934"/>
      <w:r>
        <w:rPr>
          <w:color w:val="000000"/>
          <w:szCs w:val="20"/>
          <w:shd w:val="clear" w:color="auto" w:fill="FFFFFF"/>
          <w:lang w:val="en-US" w:eastAsia="en-US" w:bidi="ar-SA"/>
        </w:rPr>
        <w:t>które w porównaniu do roku 2024 wzrosły o 3,70%</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36.381 zł (z kwoty 984.413 zł na kwotę 1.020.794 zł: w tym energia elektryczna wzrost </w:t>
      </w:r>
      <w:r>
        <w:rPr>
          <w:color w:val="000000"/>
          <w:szCs w:val="20"/>
          <w:shd w:val="clear" w:color="auto" w:fill="FFFFFF"/>
          <w:lang w:val="en-US" w:eastAsia="en-US" w:bidi="ar-SA"/>
        </w:rPr>
        <w:br/>
        <w:t>o 39,60%, energia cieplna wzrost o 31,02%)</w:t>
      </w:r>
      <w:bookmarkEnd w:id="10"/>
      <w:r>
        <w:rPr>
          <w:color w:val="000000"/>
          <w:szCs w:val="20"/>
          <w:shd w:val="clear" w:color="auto" w:fill="FFFFFF"/>
        </w:rPr>
        <w:t>;</w:t>
      </w:r>
    </w:p>
    <w:p w:rsidR="00B91C8A" w:rsidRDefault="004E7132">
      <w:pPr>
        <w:numPr>
          <w:ilvl w:val="0"/>
          <w:numId w:val="16"/>
        </w:numPr>
        <w:spacing w:after="160" w:afterAutospacing="1" w:line="259"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w:t>
      </w:r>
      <w:r>
        <w:rPr>
          <w:b/>
          <w:color w:val="000000"/>
          <w:szCs w:val="20"/>
          <w:shd w:val="clear" w:color="auto" w:fill="FFFFFF"/>
          <w:lang w:val="en-US" w:eastAsia="en-US" w:bidi="en-US"/>
        </w:rPr>
        <w:t>ów</w:t>
      </w:r>
      <w:r>
        <w:rPr>
          <w:b/>
          <w:color w:val="000000"/>
          <w:szCs w:val="20"/>
          <w:shd w:val="clear" w:color="auto" w:fill="FFFFFF"/>
          <w:lang w:val="en-US" w:eastAsia="en-US" w:bidi="ar-SA"/>
        </w:rPr>
        <w:t xml:space="preserve"> materiałów medycznych</w:t>
      </w:r>
      <w:r>
        <w:rPr>
          <w:color w:val="000000"/>
          <w:szCs w:val="20"/>
          <w:shd w:val="clear" w:color="auto" w:fill="FFFFFF"/>
          <w:lang w:val="en-US" w:eastAsia="en-US" w:bidi="ar-SA"/>
        </w:rPr>
        <w:t>, które w porównaniu do roku 2023 wzrosły o 41,09%</w:t>
      </w:r>
      <w:r>
        <w:rPr>
          <w:color w:val="000000"/>
          <w:szCs w:val="20"/>
          <w:shd w:val="clear" w:color="auto" w:fill="FFFFFF"/>
          <w:lang w:val="en-US" w:eastAsia="en-US" w:bidi="en-US"/>
        </w:rPr>
        <w:t>,</w:t>
      </w:r>
      <w:r>
        <w:rPr>
          <w:color w:val="000000"/>
          <w:szCs w:val="20"/>
          <w:shd w:val="clear" w:color="auto" w:fill="FFFFFF"/>
          <w:lang w:val="en-US" w:eastAsia="en-US" w:bidi="ar-SA"/>
        </w:rPr>
        <w:br/>
        <w:t>tj. o kwotę 110.352 zł z kwoty 268.542 zł na kwotę 378.894 zł</w:t>
      </w:r>
      <w:r>
        <w:rPr>
          <w:color w:val="000000"/>
          <w:szCs w:val="20"/>
          <w:shd w:val="clear" w:color="auto" w:fill="FFFFFF"/>
          <w:lang w:val="en-US" w:eastAsia="en-US" w:bidi="en-US"/>
        </w:rPr>
        <w:t>,</w:t>
      </w:r>
      <w:r>
        <w:rPr>
          <w:color w:val="000000"/>
          <w:szCs w:val="20"/>
          <w:shd w:val="clear" w:color="auto" w:fill="FFFFFF"/>
          <w:lang w:val="en-US" w:eastAsia="en-US" w:bidi="ar-SA"/>
        </w:rPr>
        <w:t xml:space="preserve"> (w tym sprzętu i materiałów jednorazowych wzrost o 18,15% - z kwoty 140.160 zł na kwotę 165.593 zł)</w:t>
      </w:r>
      <w:r>
        <w:rPr>
          <w:color w:val="000000"/>
          <w:szCs w:val="20"/>
          <w:shd w:val="clear" w:color="auto" w:fill="FFFFFF"/>
        </w:rPr>
        <w:t>;</w:t>
      </w:r>
    </w:p>
    <w:p w:rsidR="00B91C8A" w:rsidRDefault="004E7132">
      <w:pPr>
        <w:numPr>
          <w:ilvl w:val="0"/>
          <w:numId w:val="16"/>
        </w:numPr>
        <w:spacing w:after="160" w:afterAutospacing="1" w:line="259"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kosztów usług niemedycznych, </w:t>
      </w:r>
      <w:r>
        <w:rPr>
          <w:color w:val="000000"/>
          <w:szCs w:val="20"/>
          <w:shd w:val="clear" w:color="auto" w:fill="FFFFFF"/>
          <w:lang w:val="en-US" w:eastAsia="en-US" w:bidi="ar-SA"/>
        </w:rPr>
        <w:t>które w porównaniu do roku 2023 wzrosły o 9,64%</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 xml:space="preserve">tj. o kwotę 101.078 zł z kwoty 1.048.177 zł na kwotę 1.149.255 </w:t>
      </w:r>
      <w:r>
        <w:rPr>
          <w:color w:val="000000"/>
          <w:szCs w:val="20"/>
          <w:shd w:val="clear" w:color="auto" w:fill="FFFFFF"/>
          <w:lang w:val="en-US" w:eastAsia="en-US" w:bidi="en-US"/>
        </w:rPr>
        <w:t xml:space="preserve">zł z </w:t>
      </w:r>
      <w:r>
        <w:rPr>
          <w:color w:val="000000"/>
          <w:szCs w:val="20"/>
          <w:shd w:val="clear" w:color="auto" w:fill="FFFFFF"/>
          <w:lang w:val="en-US" w:eastAsia="en-US" w:bidi="ar-SA"/>
        </w:rPr>
        <w:t>tego:</w:t>
      </w:r>
    </w:p>
    <w:p w:rsidR="00B91C8A" w:rsidRDefault="004E7132">
      <w:pPr>
        <w:numPr>
          <w:ilvl w:val="0"/>
          <w:numId w:val="18"/>
        </w:numPr>
        <w:spacing w:after="160" w:afterAutospacing="1" w:line="259"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koszty usług remontów, napraw</w:t>
      </w:r>
      <w:r>
        <w:rPr>
          <w:color w:val="000000"/>
          <w:szCs w:val="20"/>
          <w:shd w:val="clear" w:color="auto" w:fill="FFFFFF"/>
          <w:lang w:val="en-US" w:eastAsia="en-US" w:bidi="ar-SA"/>
        </w:rPr>
        <w:t>, które w porównaniu do roku 2023 wzrosły o 15,72%</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29.683 zł (z kwoty 188.844 zł na kwotę 218.527 zł),</w:t>
      </w:r>
    </w:p>
    <w:p w:rsidR="00B91C8A" w:rsidRDefault="004E7132">
      <w:pPr>
        <w:numPr>
          <w:ilvl w:val="0"/>
          <w:numId w:val="18"/>
        </w:numPr>
        <w:spacing w:after="160" w:afterAutospacing="1" w:line="259" w:lineRule="auto"/>
        <w:ind w:left="709" w:hanging="283"/>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w:t>
      </w:r>
      <w:r>
        <w:rPr>
          <w:b/>
          <w:color w:val="000000"/>
          <w:szCs w:val="20"/>
          <w:shd w:val="clear" w:color="auto" w:fill="FFFFFF"/>
          <w:lang w:val="en-US" w:eastAsia="en-US" w:bidi="en-US"/>
        </w:rPr>
        <w:t>y</w:t>
      </w:r>
      <w:r>
        <w:rPr>
          <w:b/>
          <w:color w:val="000000"/>
          <w:szCs w:val="20"/>
          <w:shd w:val="clear" w:color="auto" w:fill="FFFFFF"/>
          <w:lang w:val="en-US" w:eastAsia="en-US" w:bidi="ar-SA"/>
        </w:rPr>
        <w:t xml:space="preserve"> usług informatycznych</w:t>
      </w:r>
      <w:r>
        <w:rPr>
          <w:color w:val="000000"/>
          <w:szCs w:val="20"/>
          <w:shd w:val="clear" w:color="auto" w:fill="FFFFFF"/>
          <w:lang w:val="en-US" w:eastAsia="en-US" w:bidi="ar-SA"/>
        </w:rPr>
        <w:t>, które w porównaniu do roku 2023 wzrosły o 23,01%</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lang w:val="en-US" w:eastAsia="en-US" w:bidi="en-US"/>
        </w:rPr>
        <w:br/>
      </w:r>
      <w:r>
        <w:rPr>
          <w:color w:val="000000"/>
          <w:szCs w:val="20"/>
          <w:shd w:val="clear" w:color="auto" w:fill="FFFFFF"/>
          <w:lang w:val="en-US" w:eastAsia="en-US" w:bidi="ar-SA"/>
        </w:rPr>
        <w:t xml:space="preserve">tj. o kwotę 35.883 zł </w:t>
      </w:r>
      <w:bookmarkStart w:id="11" w:name="_Hlk135144192"/>
      <w:r>
        <w:rPr>
          <w:color w:val="000000"/>
          <w:szCs w:val="20"/>
          <w:shd w:val="clear" w:color="auto" w:fill="FFFFFF"/>
          <w:lang w:val="en-US" w:eastAsia="en-US" w:bidi="ar-SA"/>
        </w:rPr>
        <w:t>(z kwoty 155.972 zł na kwotę 191.855 zł)</w:t>
      </w:r>
      <w:r>
        <w:rPr>
          <w:color w:val="000000"/>
          <w:szCs w:val="20"/>
          <w:shd w:val="clear" w:color="auto" w:fill="FFFFFF"/>
        </w:rPr>
        <w:t>;</w:t>
      </w:r>
    </w:p>
    <w:p w:rsidR="00B91C8A" w:rsidRDefault="004E7132">
      <w:pPr>
        <w:numPr>
          <w:ilvl w:val="0"/>
          <w:numId w:val="19"/>
        </w:numPr>
        <w:spacing w:after="160" w:afterAutospacing="1" w:line="259" w:lineRule="auto"/>
        <w:ind w:left="426" w:hanging="426"/>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koszt</w:t>
      </w:r>
      <w:r>
        <w:rPr>
          <w:b/>
          <w:color w:val="000000"/>
          <w:szCs w:val="20"/>
          <w:shd w:val="clear" w:color="auto" w:fill="FFFFFF"/>
          <w:lang w:val="en-US" w:eastAsia="en-US" w:bidi="en-US"/>
        </w:rPr>
        <w:t>ów</w:t>
      </w:r>
      <w:r>
        <w:rPr>
          <w:b/>
          <w:color w:val="000000"/>
          <w:szCs w:val="20"/>
          <w:shd w:val="clear" w:color="auto" w:fill="FFFFFF"/>
          <w:lang w:val="en-US" w:eastAsia="en-US" w:bidi="ar-SA"/>
        </w:rPr>
        <w:t xml:space="preserve"> usług diagnostycznych</w:t>
      </w:r>
      <w:r>
        <w:rPr>
          <w:color w:val="000000"/>
          <w:szCs w:val="20"/>
          <w:shd w:val="clear" w:color="auto" w:fill="FFFFFF"/>
          <w:lang w:val="en-US" w:eastAsia="en-US" w:bidi="ar-SA"/>
        </w:rPr>
        <w:t>, które w porównaniu do roku 2023 wzrosły o 37,60%</w:t>
      </w:r>
      <w:r>
        <w:rPr>
          <w:color w:val="000000"/>
          <w:szCs w:val="20"/>
          <w:shd w:val="clear" w:color="auto" w:fill="FFFFFF"/>
          <w:lang w:val="en-US" w:eastAsia="en-US" w:bidi="en-US"/>
        </w:rPr>
        <w:t>,</w:t>
      </w:r>
      <w:r>
        <w:rPr>
          <w:color w:val="000000"/>
          <w:szCs w:val="20"/>
          <w:shd w:val="clear" w:color="auto" w:fill="FFFFFF"/>
          <w:lang w:val="en-US" w:eastAsia="en-US" w:bidi="ar-SA"/>
        </w:rPr>
        <w:t xml:space="preserve"> </w:t>
      </w:r>
      <w:r>
        <w:rPr>
          <w:color w:val="000000"/>
          <w:szCs w:val="20"/>
          <w:shd w:val="clear" w:color="auto" w:fill="FFFFFF"/>
          <w:lang w:val="en-US" w:eastAsia="en-US" w:bidi="ar-SA"/>
        </w:rPr>
        <w:br/>
        <w:t>tj. o 174.249 zł z kwoty 463.479 zł na kwotę 637.728 zł;</w:t>
      </w:r>
    </w:p>
    <w:p w:rsidR="00B91C8A" w:rsidRDefault="00B91C8A">
      <w:pPr>
        <w:spacing w:after="160" w:afterAutospacing="1" w:line="259" w:lineRule="auto"/>
        <w:ind w:left="426"/>
        <w:contextualSpacing/>
        <w:jc w:val="both"/>
        <w:rPr>
          <w:color w:val="000000"/>
          <w:szCs w:val="20"/>
          <w:shd w:val="clear" w:color="auto" w:fill="FFFFFF"/>
          <w:lang w:val="en-US" w:eastAsia="en-US" w:bidi="ar-SA"/>
        </w:rPr>
      </w:pPr>
    </w:p>
    <w:p w:rsidR="00B91C8A" w:rsidRDefault="004E7132">
      <w:pPr>
        <w:numPr>
          <w:ilvl w:val="0"/>
          <w:numId w:val="15"/>
        </w:numPr>
        <w:tabs>
          <w:tab w:val="left" w:pos="284"/>
          <w:tab w:val="left" w:pos="567"/>
        </w:tabs>
        <w:spacing w:after="160" w:line="259"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pozostałe koszty działalności operacyjnej</w:t>
      </w:r>
      <w:r>
        <w:rPr>
          <w:color w:val="000000"/>
          <w:szCs w:val="20"/>
          <w:shd w:val="clear" w:color="auto" w:fill="FFFFFF"/>
          <w:lang w:val="en-US" w:eastAsia="en-US" w:bidi="ar-SA"/>
        </w:rPr>
        <w:t xml:space="preserve"> w porównaniu do roku 2023 uległy zwiększeniu  </w:t>
      </w:r>
      <w:r>
        <w:rPr>
          <w:color w:val="000000"/>
          <w:szCs w:val="20"/>
          <w:shd w:val="clear" w:color="auto" w:fill="FFFFFF"/>
          <w:lang w:val="en-US" w:eastAsia="en-US" w:bidi="ar-SA"/>
        </w:rPr>
        <w:br/>
        <w:t>o 128,06%, tj. o kwotę 23.447 zł (z kwoty 18.310 zł na kwotę 41.757 zł; poniesione koszty dot</w:t>
      </w:r>
      <w:r>
        <w:rPr>
          <w:color w:val="000000"/>
          <w:szCs w:val="20"/>
          <w:shd w:val="clear" w:color="auto" w:fill="FFFFFF"/>
          <w:lang w:val="en-US" w:eastAsia="en-US" w:bidi="en-US"/>
        </w:rPr>
        <w:t>yczyły</w:t>
      </w:r>
      <w:r>
        <w:rPr>
          <w:color w:val="000000"/>
          <w:szCs w:val="20"/>
          <w:shd w:val="clear" w:color="auto" w:fill="FFFFFF"/>
          <w:lang w:val="en-US" w:eastAsia="en-US" w:bidi="ar-SA"/>
        </w:rPr>
        <w:t xml:space="preserve"> głównie utworzonej rezerwy na badanie sprawozdania finansowego kwota 18.000 zł oraz </w:t>
      </w:r>
      <w:r>
        <w:rPr>
          <w:szCs w:val="20"/>
          <w:lang w:val="en-US" w:eastAsia="en-US" w:bidi="en-US"/>
        </w:rPr>
        <w:t>kwoty 23</w:t>
      </w:r>
      <w:r>
        <w:rPr>
          <w:color w:val="000000"/>
          <w:szCs w:val="20"/>
          <w:shd w:val="clear" w:color="auto" w:fill="FFFFFF"/>
          <w:lang w:val="en-US" w:eastAsia="en-US" w:bidi="ar-SA"/>
        </w:rPr>
        <w:t>.295,30 zł odniesionej w koszty, a dot</w:t>
      </w:r>
      <w:r>
        <w:rPr>
          <w:color w:val="000000"/>
          <w:szCs w:val="20"/>
          <w:shd w:val="clear" w:color="auto" w:fill="FFFFFF"/>
          <w:lang w:eastAsia="en-US" w:bidi="ar-SA"/>
        </w:rPr>
        <w:t>yczącej</w:t>
      </w:r>
      <w:r>
        <w:rPr>
          <w:color w:val="000000"/>
          <w:szCs w:val="20"/>
          <w:shd w:val="clear" w:color="auto" w:fill="FFFFFF"/>
          <w:lang w:val="en-US" w:eastAsia="en-US" w:bidi="ar-SA"/>
        </w:rPr>
        <w:t xml:space="preserve"> nieumorzonej wartoś</w:t>
      </w:r>
      <w:r>
        <w:rPr>
          <w:color w:val="000000"/>
          <w:szCs w:val="20"/>
          <w:shd w:val="clear" w:color="auto" w:fill="FFFFFF"/>
          <w:lang w:eastAsia="en-US" w:bidi="ar-SA"/>
        </w:rPr>
        <w:t>ci</w:t>
      </w:r>
      <w:r>
        <w:rPr>
          <w:color w:val="000000"/>
          <w:szCs w:val="20"/>
          <w:shd w:val="clear" w:color="auto" w:fill="FFFFFF"/>
          <w:lang w:val="en-US" w:eastAsia="en-US" w:bidi="ar-SA"/>
        </w:rPr>
        <w:t xml:space="preserve"> środka trwałego przejętego od likwidowanej jednostki i przekwalifikowanego z wydatków inwestycyjnych na wydatek remontowy - nieumorzona wartość odniesiona równolegle w pozostałe przychody operacyjne); </w:t>
      </w:r>
    </w:p>
    <w:p w:rsidR="00B91C8A" w:rsidRDefault="004E7132">
      <w:pPr>
        <w:numPr>
          <w:ilvl w:val="0"/>
          <w:numId w:val="15"/>
        </w:numPr>
        <w:spacing w:after="160" w:afterAutospacing="1" w:line="259" w:lineRule="auto"/>
        <w:ind w:left="284" w:hanging="284"/>
        <w:contextualSpacing/>
        <w:jc w:val="both"/>
        <w:rPr>
          <w:color w:val="000000"/>
          <w:szCs w:val="20"/>
          <w:shd w:val="clear" w:color="auto" w:fill="FFFFFF"/>
          <w:lang w:val="en-US" w:eastAsia="en-US" w:bidi="ar-SA"/>
        </w:rPr>
      </w:pPr>
      <w:r>
        <w:rPr>
          <w:color w:val="000000"/>
          <w:szCs w:val="20"/>
          <w:u w:val="single"/>
          <w:shd w:val="clear" w:color="auto" w:fill="FFFFFF"/>
          <w:lang w:val="en-US" w:eastAsia="en-US" w:bidi="ar-SA"/>
        </w:rPr>
        <w:t>koszty finansowe</w:t>
      </w:r>
      <w:r>
        <w:rPr>
          <w:color w:val="000000"/>
          <w:szCs w:val="20"/>
          <w:shd w:val="clear" w:color="auto" w:fill="FFFFFF"/>
          <w:lang w:val="en-US" w:eastAsia="en-US" w:bidi="ar-SA"/>
        </w:rPr>
        <w:t xml:space="preserve"> w porównaniu do roku 2023 uległy zmniejszeniu o 31,50%, tj. o kwotę 859 zł (z kwoty 2.727 zł na kwotę 1.868 zł dotyczyły i odsetek zapłaconych od kredytu).</w:t>
      </w:r>
    </w:p>
    <w:p w:rsidR="00B91C8A" w:rsidRDefault="00B91C8A">
      <w:pPr>
        <w:spacing w:afterAutospacing="1"/>
        <w:contextualSpacing/>
        <w:jc w:val="both"/>
        <w:rPr>
          <w:color w:val="000000"/>
          <w:szCs w:val="20"/>
          <w:shd w:val="clear" w:color="auto" w:fill="FFFFFF"/>
          <w:lang w:eastAsia="en-US" w:bidi="ar-SA"/>
        </w:rPr>
      </w:pPr>
    </w:p>
    <w:p w:rsidR="00B91C8A" w:rsidRDefault="004E7132">
      <w:pPr>
        <w:jc w:val="both"/>
        <w:rPr>
          <w:szCs w:val="20"/>
        </w:rPr>
      </w:pPr>
      <w:r>
        <w:rPr>
          <w:szCs w:val="20"/>
        </w:rPr>
        <w:t xml:space="preserve">W 2024 roku Miejskie Centrum Medyczne „Widzew” w Łodzi poniosło nakłady finansowane ze </w:t>
      </w:r>
      <w:r>
        <w:rPr>
          <w:color w:val="000000"/>
          <w:szCs w:val="20"/>
          <w:shd w:val="clear" w:color="auto" w:fill="FFFFFF"/>
          <w:lang w:bidi="ar-SA"/>
        </w:rPr>
        <w:t>środków własnych  w wysokości 1.309.668,48 zł na następujące zadania:</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s</w:t>
      </w:r>
      <w:r>
        <w:rPr>
          <w:color w:val="000000"/>
          <w:szCs w:val="20"/>
          <w:shd w:val="clear" w:color="auto" w:fill="FFFFFF"/>
          <w:lang w:val="en-US" w:eastAsia="en-US" w:bidi="ar-SA"/>
        </w:rPr>
        <w:t>pirometr</w:t>
      </w:r>
      <w:r>
        <w:rPr>
          <w:color w:val="000000"/>
          <w:szCs w:val="20"/>
          <w:shd w:val="clear" w:color="auto" w:fill="FFFFFF"/>
          <w:lang w:eastAsia="en-US" w:bidi="ar-SA"/>
        </w:rPr>
        <w:t>ów</w:t>
      </w:r>
      <w:r>
        <w:rPr>
          <w:color w:val="000000"/>
          <w:szCs w:val="20"/>
          <w:shd w:val="clear" w:color="auto" w:fill="FFFFFF"/>
          <w:lang w:val="en-US" w:eastAsia="en-US" w:bidi="ar-SA"/>
        </w:rPr>
        <w:t xml:space="preserve"> (2 szt.) kwota 24.800</w:t>
      </w:r>
      <w:r>
        <w:rPr>
          <w:color w:val="000000"/>
          <w:szCs w:val="20"/>
          <w:shd w:val="clear" w:color="auto" w:fill="FFFFFF"/>
          <w:lang w:eastAsia="en-US" w:bidi="ar-SA"/>
        </w:rPr>
        <w:t>,00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 EKG kwota 34.100,00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 Holter</w:t>
      </w:r>
      <w:r>
        <w:rPr>
          <w:color w:val="000000"/>
          <w:szCs w:val="20"/>
          <w:shd w:val="clear" w:color="auto" w:fill="FFFFFF"/>
          <w:lang w:eastAsia="en-US" w:bidi="ar-SA"/>
        </w:rPr>
        <w:t>a</w:t>
      </w:r>
      <w:r>
        <w:rPr>
          <w:color w:val="000000"/>
          <w:szCs w:val="20"/>
          <w:shd w:val="clear" w:color="auto" w:fill="FFFFFF"/>
          <w:lang w:val="en-US" w:eastAsia="en-US" w:bidi="ar-SA"/>
        </w:rPr>
        <w:t xml:space="preserve"> ciśnieniow</w:t>
      </w:r>
      <w:r>
        <w:rPr>
          <w:color w:val="000000"/>
          <w:szCs w:val="20"/>
          <w:shd w:val="clear" w:color="auto" w:fill="FFFFFF"/>
          <w:lang w:eastAsia="en-US" w:bidi="ar-SA"/>
        </w:rPr>
        <w:t>ego</w:t>
      </w:r>
      <w:r>
        <w:rPr>
          <w:color w:val="000000"/>
          <w:szCs w:val="20"/>
          <w:shd w:val="clear" w:color="auto" w:fill="FFFFFF"/>
          <w:lang w:val="en-US" w:eastAsia="en-US" w:bidi="ar-SA"/>
        </w:rPr>
        <w:t xml:space="preserve"> kwota 7.120,00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modernizacja energetyczna budynku MCM „Widzew” w Łodzi II etap, kwota 187.960,80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s</w:t>
      </w:r>
      <w:r>
        <w:rPr>
          <w:color w:val="000000"/>
          <w:szCs w:val="20"/>
          <w:shd w:val="clear" w:color="auto" w:fill="FFFFFF"/>
          <w:lang w:val="en-US" w:eastAsia="en-US" w:bidi="ar-SA"/>
        </w:rPr>
        <w:t>przęt</w:t>
      </w:r>
      <w:r>
        <w:rPr>
          <w:color w:val="000000"/>
          <w:szCs w:val="20"/>
          <w:shd w:val="clear" w:color="auto" w:fill="FFFFFF"/>
          <w:lang w:eastAsia="en-US" w:bidi="ar-SA"/>
        </w:rPr>
        <w:t>u</w:t>
      </w:r>
      <w:r>
        <w:rPr>
          <w:color w:val="000000"/>
          <w:szCs w:val="20"/>
          <w:shd w:val="clear" w:color="auto" w:fill="FFFFFF"/>
          <w:lang w:val="en-US" w:eastAsia="en-US" w:bidi="ar-SA"/>
        </w:rPr>
        <w:t xml:space="preserve"> komputerow</w:t>
      </w:r>
      <w:r>
        <w:rPr>
          <w:color w:val="000000"/>
          <w:szCs w:val="20"/>
          <w:shd w:val="clear" w:color="auto" w:fill="FFFFFF"/>
          <w:lang w:eastAsia="en-US" w:bidi="ar-SA"/>
        </w:rPr>
        <w:t>ego</w:t>
      </w:r>
      <w:r>
        <w:rPr>
          <w:color w:val="000000"/>
          <w:szCs w:val="20"/>
          <w:shd w:val="clear" w:color="auto" w:fill="FFFFFF"/>
          <w:lang w:val="en-US" w:eastAsia="en-US" w:bidi="ar-SA"/>
        </w:rPr>
        <w:t>, urządze</w:t>
      </w:r>
      <w:r>
        <w:rPr>
          <w:color w:val="000000"/>
          <w:szCs w:val="20"/>
          <w:shd w:val="clear" w:color="auto" w:fill="FFFFFF"/>
          <w:lang w:eastAsia="en-US" w:bidi="ar-SA"/>
        </w:rPr>
        <w:t>ń</w:t>
      </w:r>
      <w:r>
        <w:rPr>
          <w:color w:val="000000"/>
          <w:szCs w:val="20"/>
          <w:shd w:val="clear" w:color="auto" w:fill="FFFFFF"/>
          <w:lang w:val="en-US" w:eastAsia="en-US" w:bidi="ar-SA"/>
        </w:rPr>
        <w:t xml:space="preserve"> techniczn</w:t>
      </w:r>
      <w:r>
        <w:rPr>
          <w:color w:val="000000"/>
          <w:szCs w:val="20"/>
          <w:shd w:val="clear" w:color="auto" w:fill="FFFFFF"/>
          <w:lang w:eastAsia="en-US" w:bidi="ar-SA"/>
        </w:rPr>
        <w:t>ych</w:t>
      </w:r>
      <w:r>
        <w:rPr>
          <w:color w:val="000000"/>
          <w:szCs w:val="20"/>
          <w:shd w:val="clear" w:color="auto" w:fill="FFFFFF"/>
          <w:lang w:val="en-US" w:eastAsia="en-US" w:bidi="ar-SA"/>
        </w:rPr>
        <w:t xml:space="preserve"> kwota 34.833,72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zakup wyposażeni</w:t>
      </w:r>
      <w:r>
        <w:rPr>
          <w:color w:val="000000"/>
          <w:szCs w:val="20"/>
          <w:shd w:val="clear" w:color="auto" w:fill="FFFFFF"/>
          <w:lang w:eastAsia="en-US" w:bidi="ar-SA"/>
        </w:rPr>
        <w:t>a</w:t>
      </w:r>
      <w:r>
        <w:rPr>
          <w:color w:val="000000"/>
          <w:szCs w:val="20"/>
          <w:shd w:val="clear" w:color="auto" w:fill="FFFFFF"/>
          <w:lang w:val="en-US" w:eastAsia="en-US" w:bidi="ar-SA"/>
        </w:rPr>
        <w:t xml:space="preserve"> kwota 8.054,96</w:t>
      </w:r>
      <w:r>
        <w:rPr>
          <w:color w:val="000000"/>
          <w:szCs w:val="20"/>
          <w:shd w:val="clear" w:color="auto" w:fill="FFFFFF"/>
          <w:lang w:eastAsia="en-US" w:bidi="ar-SA"/>
        </w:rPr>
        <w:t xml:space="preserve"> zł</w:t>
      </w:r>
    </w:p>
    <w:p w:rsidR="00B91C8A" w:rsidRDefault="004E7132">
      <w:pPr>
        <w:numPr>
          <w:ilvl w:val="0"/>
          <w:numId w:val="20"/>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a</w:t>
      </w:r>
      <w:r>
        <w:rPr>
          <w:color w:val="000000"/>
          <w:szCs w:val="20"/>
          <w:shd w:val="clear" w:color="auto" w:fill="FFFFFF"/>
          <w:lang w:val="en-US" w:eastAsia="en-US" w:bidi="ar-SA"/>
        </w:rPr>
        <w:t>parat</w:t>
      </w:r>
      <w:r>
        <w:rPr>
          <w:color w:val="000000"/>
          <w:szCs w:val="20"/>
          <w:shd w:val="clear" w:color="auto" w:fill="FFFFFF"/>
          <w:lang w:eastAsia="en-US" w:bidi="ar-SA"/>
        </w:rPr>
        <w:t>u</w:t>
      </w:r>
      <w:r>
        <w:rPr>
          <w:color w:val="000000"/>
          <w:szCs w:val="20"/>
          <w:shd w:val="clear" w:color="auto" w:fill="FFFFFF"/>
          <w:lang w:val="en-US" w:eastAsia="en-US" w:bidi="ar-SA"/>
        </w:rPr>
        <w:t xml:space="preserve"> USG (2</w:t>
      </w:r>
      <w:r>
        <w:rPr>
          <w:color w:val="000000"/>
          <w:szCs w:val="20"/>
          <w:shd w:val="clear" w:color="auto" w:fill="FFFFFF"/>
          <w:lang w:eastAsia="en-US" w:bidi="ar-SA"/>
        </w:rPr>
        <w:t xml:space="preserve"> </w:t>
      </w:r>
      <w:r>
        <w:rPr>
          <w:color w:val="000000"/>
          <w:szCs w:val="20"/>
          <w:shd w:val="clear" w:color="auto" w:fill="FFFFFF"/>
          <w:lang w:val="en-US" w:eastAsia="en-US" w:bidi="ar-SA"/>
        </w:rPr>
        <w:t>szt</w:t>
      </w:r>
      <w:r>
        <w:rPr>
          <w:color w:val="000000"/>
          <w:szCs w:val="20"/>
          <w:shd w:val="clear" w:color="auto" w:fill="FFFFFF"/>
          <w:lang w:eastAsia="en-US" w:bidi="ar-SA"/>
        </w:rPr>
        <w:t>.</w:t>
      </w:r>
      <w:r>
        <w:rPr>
          <w:color w:val="000000"/>
          <w:szCs w:val="20"/>
          <w:shd w:val="clear" w:color="auto" w:fill="FFFFFF"/>
          <w:lang w:val="en-US" w:eastAsia="en-US" w:bidi="ar-SA"/>
        </w:rPr>
        <w:t>) kwota 320.000,00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b</w:t>
      </w:r>
      <w:r>
        <w:rPr>
          <w:color w:val="000000"/>
          <w:szCs w:val="20"/>
          <w:shd w:val="clear" w:color="auto" w:fill="FFFFFF"/>
          <w:lang w:val="en-US" w:eastAsia="en-US" w:bidi="ar-SA"/>
        </w:rPr>
        <w:t>ilirubinometr</w:t>
      </w:r>
      <w:r>
        <w:rPr>
          <w:color w:val="000000"/>
          <w:szCs w:val="20"/>
          <w:shd w:val="clear" w:color="auto" w:fill="FFFFFF"/>
          <w:lang w:eastAsia="en-US" w:bidi="ar-SA"/>
        </w:rPr>
        <w:t>u</w:t>
      </w:r>
      <w:r>
        <w:rPr>
          <w:color w:val="000000"/>
          <w:szCs w:val="20"/>
          <w:shd w:val="clear" w:color="auto" w:fill="FFFFFF"/>
          <w:lang w:val="en-US" w:eastAsia="en-US" w:bidi="ar-SA"/>
        </w:rPr>
        <w:t xml:space="preserve"> kwota 7.800,00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l</w:t>
      </w:r>
      <w:r>
        <w:rPr>
          <w:color w:val="000000"/>
          <w:szCs w:val="20"/>
          <w:shd w:val="clear" w:color="auto" w:fill="FFFFFF"/>
          <w:lang w:val="en-US" w:eastAsia="en-US" w:bidi="ar-SA"/>
        </w:rPr>
        <w:t>icencj</w:t>
      </w:r>
      <w:r>
        <w:rPr>
          <w:color w:val="000000"/>
          <w:szCs w:val="20"/>
          <w:shd w:val="clear" w:color="auto" w:fill="FFFFFF"/>
          <w:lang w:eastAsia="en-US" w:bidi="ar-SA"/>
        </w:rPr>
        <w:t>i</w:t>
      </w:r>
      <w:r>
        <w:rPr>
          <w:color w:val="000000"/>
          <w:szCs w:val="20"/>
          <w:shd w:val="clear" w:color="auto" w:fill="FFFFFF"/>
          <w:lang w:val="en-US" w:eastAsia="en-US" w:bidi="ar-SA"/>
        </w:rPr>
        <w:t xml:space="preserve"> na program finansowo-księgow</w:t>
      </w:r>
      <w:r>
        <w:rPr>
          <w:color w:val="000000"/>
          <w:szCs w:val="20"/>
          <w:shd w:val="clear" w:color="auto" w:fill="FFFFFF"/>
          <w:lang w:eastAsia="en-US" w:bidi="ar-SA"/>
        </w:rPr>
        <w:t>y</w:t>
      </w:r>
      <w:r>
        <w:rPr>
          <w:color w:val="000000"/>
          <w:szCs w:val="20"/>
          <w:shd w:val="clear" w:color="auto" w:fill="FFFFFF"/>
          <w:lang w:val="en-US" w:eastAsia="en-US" w:bidi="ar-SA"/>
        </w:rPr>
        <w:t>, kadry i płace kwota 75.030,00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a</w:t>
      </w:r>
      <w:r>
        <w:rPr>
          <w:color w:val="000000"/>
          <w:szCs w:val="20"/>
          <w:shd w:val="clear" w:color="auto" w:fill="FFFFFF"/>
          <w:lang w:val="en-US" w:eastAsia="en-US" w:bidi="ar-SA"/>
        </w:rPr>
        <w:t>parat</w:t>
      </w:r>
      <w:r>
        <w:rPr>
          <w:color w:val="000000"/>
          <w:szCs w:val="20"/>
          <w:shd w:val="clear" w:color="auto" w:fill="FFFFFF"/>
          <w:lang w:eastAsia="en-US" w:bidi="ar-SA"/>
        </w:rPr>
        <w:t>u</w:t>
      </w:r>
      <w:r>
        <w:rPr>
          <w:color w:val="000000"/>
          <w:szCs w:val="20"/>
          <w:shd w:val="clear" w:color="auto" w:fill="FFFFFF"/>
          <w:lang w:val="en-US" w:eastAsia="en-US" w:bidi="ar-SA"/>
        </w:rPr>
        <w:t xml:space="preserve"> do masażu limfatycznego 17.100,00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zakup szyn</w:t>
      </w:r>
      <w:r>
        <w:rPr>
          <w:color w:val="000000"/>
          <w:szCs w:val="20"/>
          <w:shd w:val="clear" w:color="auto" w:fill="FFFFFF"/>
          <w:lang w:eastAsia="en-US" w:bidi="ar-SA"/>
        </w:rPr>
        <w:t>y</w:t>
      </w:r>
      <w:r>
        <w:rPr>
          <w:color w:val="000000"/>
          <w:szCs w:val="20"/>
          <w:shd w:val="clear" w:color="auto" w:fill="FFFFFF"/>
          <w:lang w:val="en-US" w:eastAsia="en-US" w:bidi="ar-SA"/>
        </w:rPr>
        <w:t xml:space="preserve"> </w:t>
      </w:r>
      <w:r>
        <w:rPr>
          <w:color w:val="000000"/>
          <w:szCs w:val="20"/>
          <w:shd w:val="clear" w:color="auto" w:fill="FFFFFF"/>
          <w:lang w:eastAsia="en-US" w:bidi="ar-SA"/>
        </w:rPr>
        <w:t xml:space="preserve">do rehabilitacji </w:t>
      </w:r>
      <w:r>
        <w:rPr>
          <w:color w:val="000000"/>
          <w:szCs w:val="20"/>
          <w:shd w:val="clear" w:color="auto" w:fill="FFFFFF"/>
          <w:lang w:val="en-US" w:eastAsia="en-US" w:bidi="ar-SA"/>
        </w:rPr>
        <w:t>kwota 16.575,00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s</w:t>
      </w:r>
      <w:r>
        <w:rPr>
          <w:color w:val="000000"/>
          <w:szCs w:val="20"/>
          <w:shd w:val="clear" w:color="auto" w:fill="FFFFFF"/>
          <w:lang w:val="en-US" w:eastAsia="en-US" w:bidi="ar-SA"/>
        </w:rPr>
        <w:t>t</w:t>
      </w:r>
      <w:r>
        <w:rPr>
          <w:color w:val="000000"/>
          <w:szCs w:val="20"/>
          <w:shd w:val="clear" w:color="auto" w:fill="FFFFFF"/>
          <w:lang w:eastAsia="en-US" w:bidi="ar-SA"/>
        </w:rPr>
        <w:t>o</w:t>
      </w:r>
      <w:r>
        <w:rPr>
          <w:color w:val="000000"/>
          <w:szCs w:val="20"/>
          <w:shd w:val="clear" w:color="auto" w:fill="FFFFFF"/>
          <w:lang w:val="en-US" w:eastAsia="en-US" w:bidi="ar-SA"/>
        </w:rPr>
        <w:t>ł</w:t>
      </w:r>
      <w:r>
        <w:rPr>
          <w:color w:val="000000"/>
          <w:szCs w:val="20"/>
          <w:shd w:val="clear" w:color="auto" w:fill="FFFFFF"/>
          <w:lang w:eastAsia="en-US" w:bidi="ar-SA"/>
        </w:rPr>
        <w:t>u</w:t>
      </w:r>
      <w:r>
        <w:rPr>
          <w:color w:val="000000"/>
          <w:szCs w:val="20"/>
          <w:shd w:val="clear" w:color="auto" w:fill="FFFFFF"/>
          <w:lang w:val="en-US" w:eastAsia="en-US" w:bidi="ar-SA"/>
        </w:rPr>
        <w:t xml:space="preserve"> wielofunkcyjn</w:t>
      </w:r>
      <w:r>
        <w:rPr>
          <w:color w:val="000000"/>
          <w:szCs w:val="20"/>
          <w:shd w:val="clear" w:color="auto" w:fill="FFFFFF"/>
          <w:lang w:eastAsia="en-US" w:bidi="ar-SA"/>
        </w:rPr>
        <w:t>ego</w:t>
      </w:r>
      <w:r>
        <w:rPr>
          <w:color w:val="000000"/>
          <w:szCs w:val="20"/>
          <w:shd w:val="clear" w:color="auto" w:fill="FFFFFF"/>
          <w:lang w:val="en-US" w:eastAsia="en-US" w:bidi="ar-SA"/>
        </w:rPr>
        <w:t xml:space="preserve"> do ćwiczeń manualnych ręki kwota 8.432,00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u</w:t>
      </w:r>
      <w:r>
        <w:rPr>
          <w:color w:val="000000"/>
          <w:szCs w:val="20"/>
          <w:shd w:val="clear" w:color="auto" w:fill="FFFFFF"/>
          <w:lang w:val="en-US" w:eastAsia="en-US" w:bidi="ar-SA"/>
        </w:rPr>
        <w:t>rządzeni</w:t>
      </w:r>
      <w:r>
        <w:rPr>
          <w:color w:val="000000"/>
          <w:szCs w:val="20"/>
          <w:shd w:val="clear" w:color="auto" w:fill="FFFFFF"/>
          <w:lang w:eastAsia="en-US" w:bidi="ar-SA"/>
        </w:rPr>
        <w:t>a</w:t>
      </w:r>
      <w:r>
        <w:rPr>
          <w:color w:val="000000"/>
          <w:szCs w:val="20"/>
          <w:shd w:val="clear" w:color="auto" w:fill="FFFFFF"/>
          <w:lang w:val="en-US" w:eastAsia="en-US" w:bidi="ar-SA"/>
        </w:rPr>
        <w:t xml:space="preserve"> do leczenia ran i owrzodzeń INDIBA kwota 198.282,00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a</w:t>
      </w:r>
      <w:r>
        <w:rPr>
          <w:color w:val="000000"/>
          <w:szCs w:val="20"/>
          <w:shd w:val="clear" w:color="auto" w:fill="FFFFFF"/>
          <w:lang w:val="en-US" w:eastAsia="en-US" w:bidi="ar-SA"/>
        </w:rPr>
        <w:t>utorefraktometr</w:t>
      </w:r>
      <w:r>
        <w:rPr>
          <w:color w:val="000000"/>
          <w:szCs w:val="20"/>
          <w:shd w:val="clear" w:color="auto" w:fill="FFFFFF"/>
          <w:lang w:eastAsia="en-US" w:bidi="ar-SA"/>
        </w:rPr>
        <w:t>u</w:t>
      </w:r>
      <w:r>
        <w:rPr>
          <w:color w:val="000000"/>
          <w:szCs w:val="20"/>
          <w:shd w:val="clear" w:color="auto" w:fill="FFFFFF"/>
          <w:lang w:val="en-US" w:eastAsia="en-US" w:bidi="ar-SA"/>
        </w:rPr>
        <w:t xml:space="preserve"> pediatryczn</w:t>
      </w:r>
      <w:r>
        <w:rPr>
          <w:color w:val="000000"/>
          <w:szCs w:val="20"/>
          <w:shd w:val="clear" w:color="auto" w:fill="FFFFFF"/>
          <w:lang w:eastAsia="en-US" w:bidi="ar-SA"/>
        </w:rPr>
        <w:t>ego</w:t>
      </w:r>
      <w:r>
        <w:rPr>
          <w:color w:val="000000"/>
          <w:szCs w:val="20"/>
          <w:shd w:val="clear" w:color="auto" w:fill="FFFFFF"/>
          <w:lang w:val="en-US" w:eastAsia="en-US" w:bidi="ar-SA"/>
        </w:rPr>
        <w:t xml:space="preserve"> kwota 26.092,00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zakup rower</w:t>
      </w:r>
      <w:r>
        <w:rPr>
          <w:color w:val="000000"/>
          <w:szCs w:val="20"/>
          <w:shd w:val="clear" w:color="auto" w:fill="FFFFFF"/>
          <w:lang w:eastAsia="en-US" w:bidi="ar-SA"/>
        </w:rPr>
        <w:t>ów</w:t>
      </w:r>
      <w:r>
        <w:rPr>
          <w:color w:val="000000"/>
          <w:szCs w:val="20"/>
          <w:shd w:val="clear" w:color="auto" w:fill="FFFFFF"/>
          <w:lang w:val="en-US" w:eastAsia="en-US" w:bidi="ar-SA"/>
        </w:rPr>
        <w:t xml:space="preserve"> stacjonarn</w:t>
      </w:r>
      <w:r>
        <w:rPr>
          <w:color w:val="000000"/>
          <w:szCs w:val="20"/>
          <w:shd w:val="clear" w:color="auto" w:fill="FFFFFF"/>
          <w:lang w:eastAsia="en-US" w:bidi="ar-SA"/>
        </w:rPr>
        <w:t>ych</w:t>
      </w:r>
      <w:r>
        <w:rPr>
          <w:color w:val="000000"/>
          <w:szCs w:val="20"/>
          <w:shd w:val="clear" w:color="auto" w:fill="FFFFFF"/>
          <w:lang w:val="en-US" w:eastAsia="en-US" w:bidi="ar-SA"/>
        </w:rPr>
        <w:t xml:space="preserve"> (2 szt.) kwota 300,00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s</w:t>
      </w:r>
      <w:r>
        <w:rPr>
          <w:color w:val="000000"/>
          <w:szCs w:val="20"/>
          <w:shd w:val="clear" w:color="auto" w:fill="FFFFFF"/>
          <w:lang w:val="en-US" w:eastAsia="en-US" w:bidi="ar-SA"/>
        </w:rPr>
        <w:t>erwer</w:t>
      </w:r>
      <w:r>
        <w:rPr>
          <w:color w:val="000000"/>
          <w:szCs w:val="20"/>
          <w:shd w:val="clear" w:color="auto" w:fill="FFFFFF"/>
          <w:lang w:eastAsia="en-US" w:bidi="ar-SA"/>
        </w:rPr>
        <w:t>a</w:t>
      </w:r>
      <w:r>
        <w:rPr>
          <w:color w:val="000000"/>
          <w:szCs w:val="20"/>
          <w:shd w:val="clear" w:color="auto" w:fill="FFFFFF"/>
          <w:lang w:val="en-US" w:eastAsia="en-US" w:bidi="ar-SA"/>
        </w:rPr>
        <w:t xml:space="preserve"> na potrzeby systemu finansowo-księgowego oraz kadrowo</w:t>
      </w:r>
      <w:r>
        <w:rPr>
          <w:color w:val="000000"/>
          <w:szCs w:val="20"/>
          <w:shd w:val="clear" w:color="auto" w:fill="FFFFFF"/>
          <w:lang w:eastAsia="en-US" w:bidi="ar-SA"/>
        </w:rPr>
        <w:t>-</w:t>
      </w:r>
      <w:r>
        <w:rPr>
          <w:color w:val="000000"/>
          <w:szCs w:val="20"/>
          <w:shd w:val="clear" w:color="auto" w:fill="FFFFFF"/>
          <w:lang w:val="en-US" w:eastAsia="en-US" w:bidi="ar-SA"/>
        </w:rPr>
        <w:t>płacowego kwota 33.948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zakup wózk</w:t>
      </w:r>
      <w:r>
        <w:rPr>
          <w:color w:val="000000"/>
          <w:szCs w:val="20"/>
          <w:shd w:val="clear" w:color="auto" w:fill="FFFFFF"/>
          <w:lang w:eastAsia="en-US" w:bidi="ar-SA"/>
        </w:rPr>
        <w:t>ów</w:t>
      </w:r>
      <w:r>
        <w:rPr>
          <w:color w:val="000000"/>
          <w:szCs w:val="20"/>
          <w:shd w:val="clear" w:color="auto" w:fill="FFFFFF"/>
          <w:lang w:val="en-US" w:eastAsia="en-US" w:bidi="ar-SA"/>
        </w:rPr>
        <w:t xml:space="preserve"> medyczn</w:t>
      </w:r>
      <w:r>
        <w:rPr>
          <w:color w:val="000000"/>
          <w:szCs w:val="20"/>
          <w:shd w:val="clear" w:color="auto" w:fill="FFFFFF"/>
          <w:lang w:eastAsia="en-US" w:bidi="ar-SA"/>
        </w:rPr>
        <w:t>ych</w:t>
      </w:r>
      <w:r>
        <w:rPr>
          <w:color w:val="000000"/>
          <w:szCs w:val="20"/>
          <w:shd w:val="clear" w:color="auto" w:fill="FFFFFF"/>
          <w:lang w:val="en-US" w:eastAsia="en-US" w:bidi="ar-SA"/>
        </w:rPr>
        <w:t xml:space="preserve"> (2 szt</w:t>
      </w:r>
      <w:r>
        <w:rPr>
          <w:color w:val="000000"/>
          <w:szCs w:val="20"/>
          <w:shd w:val="clear" w:color="auto" w:fill="FFFFFF"/>
          <w:lang w:eastAsia="en-US" w:bidi="ar-SA"/>
        </w:rPr>
        <w:t>.</w:t>
      </w:r>
      <w:r>
        <w:rPr>
          <w:color w:val="000000"/>
          <w:szCs w:val="20"/>
          <w:shd w:val="clear" w:color="auto" w:fill="FFFFFF"/>
          <w:lang w:val="en-US" w:eastAsia="en-US" w:bidi="ar-SA"/>
        </w:rPr>
        <w:t>) kwota 7.260,00 zł</w:t>
      </w:r>
    </w:p>
    <w:p w:rsidR="00B91C8A" w:rsidRDefault="004E7132">
      <w:pPr>
        <w:numPr>
          <w:ilvl w:val="0"/>
          <w:numId w:val="20"/>
        </w:numPr>
        <w:spacing w:after="160" w:line="259" w:lineRule="auto"/>
        <w:contextualSpacing/>
        <w:jc w:val="left"/>
        <w:rPr>
          <w:color w:val="000000"/>
          <w:szCs w:val="20"/>
          <w:shd w:val="clear" w:color="auto" w:fill="FFFFFF"/>
          <w:lang w:val="en-US" w:eastAsia="en-US" w:bidi="ar-SA"/>
        </w:rPr>
      </w:pPr>
      <w:r>
        <w:rPr>
          <w:color w:val="000000"/>
          <w:szCs w:val="20"/>
          <w:shd w:val="clear" w:color="auto" w:fill="FFFFFF"/>
          <w:lang w:val="en-US" w:eastAsia="en-US" w:bidi="ar-SA"/>
        </w:rPr>
        <w:t xml:space="preserve">zakup </w:t>
      </w:r>
      <w:r>
        <w:rPr>
          <w:color w:val="000000"/>
          <w:szCs w:val="20"/>
          <w:shd w:val="clear" w:color="auto" w:fill="FFFFFF"/>
          <w:lang w:eastAsia="en-US" w:bidi="ar-SA"/>
        </w:rPr>
        <w:t>a</w:t>
      </w:r>
      <w:r>
        <w:rPr>
          <w:color w:val="000000"/>
          <w:szCs w:val="20"/>
          <w:shd w:val="clear" w:color="auto" w:fill="FFFFFF"/>
          <w:lang w:val="en-US" w:eastAsia="en-US" w:bidi="ar-SA"/>
        </w:rPr>
        <w:t>utoklaw</w:t>
      </w:r>
      <w:r>
        <w:rPr>
          <w:color w:val="000000"/>
          <w:szCs w:val="20"/>
          <w:shd w:val="clear" w:color="auto" w:fill="FFFFFF"/>
          <w:lang w:eastAsia="en-US" w:bidi="ar-SA"/>
        </w:rPr>
        <w:t>u</w:t>
      </w:r>
      <w:r>
        <w:rPr>
          <w:color w:val="000000"/>
          <w:szCs w:val="20"/>
          <w:shd w:val="clear" w:color="auto" w:fill="FFFFFF"/>
          <w:lang w:val="en-US" w:eastAsia="en-US" w:bidi="ar-SA"/>
        </w:rPr>
        <w:t xml:space="preserve"> ze zgrzewarką kwota 7.280,00 zł</w:t>
      </w:r>
    </w:p>
    <w:p w:rsidR="00B91C8A" w:rsidRDefault="004E7132">
      <w:pPr>
        <w:spacing w:after="160" w:line="259" w:lineRule="auto"/>
        <w:ind w:left="284"/>
        <w:contextualSpacing/>
        <w:jc w:val="both"/>
        <w:rPr>
          <w:color w:val="000000"/>
          <w:szCs w:val="20"/>
          <w:shd w:val="clear" w:color="auto" w:fill="FFFFFF"/>
          <w:lang w:val="en-US" w:eastAsia="en-US" w:bidi="ar-SA"/>
        </w:rPr>
      </w:pPr>
      <w:r>
        <w:rPr>
          <w:color w:val="000000"/>
          <w:szCs w:val="20"/>
          <w:shd w:val="clear" w:color="auto" w:fill="FFFFFF"/>
          <w:lang w:eastAsia="en-US" w:bidi="ar-SA"/>
        </w:rPr>
        <w:lastRenderedPageBreak/>
        <w:t xml:space="preserve">Ponadto </w:t>
      </w:r>
      <w:r>
        <w:rPr>
          <w:color w:val="000000"/>
          <w:szCs w:val="20"/>
          <w:shd w:val="clear" w:color="auto" w:fill="FFFFFF"/>
          <w:lang w:val="en-US" w:eastAsia="en-US" w:bidi="ar-SA"/>
        </w:rPr>
        <w:t>ze środków obcych</w:t>
      </w:r>
      <w:r>
        <w:rPr>
          <w:color w:val="000000"/>
          <w:szCs w:val="20"/>
          <w:shd w:val="clear" w:color="auto" w:fill="FFFFFF"/>
          <w:lang w:eastAsia="en-US" w:bidi="ar-SA"/>
        </w:rPr>
        <w:t xml:space="preserve"> w wysokości 224.250,00 zł:</w:t>
      </w:r>
    </w:p>
    <w:p w:rsidR="00B91C8A" w:rsidRDefault="004E7132">
      <w:pPr>
        <w:numPr>
          <w:ilvl w:val="0"/>
          <w:numId w:val="2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eastAsia="en-US" w:bidi="ar-SA"/>
        </w:rPr>
        <w:t>dokonano zakupu u</w:t>
      </w:r>
      <w:r>
        <w:rPr>
          <w:color w:val="000000"/>
          <w:szCs w:val="20"/>
          <w:shd w:val="clear" w:color="auto" w:fill="FFFFFF"/>
          <w:lang w:val="en-US" w:eastAsia="en-US" w:bidi="ar-SA"/>
        </w:rPr>
        <w:t>rządzeni</w:t>
      </w:r>
      <w:r>
        <w:rPr>
          <w:color w:val="000000"/>
          <w:szCs w:val="20"/>
          <w:shd w:val="clear" w:color="auto" w:fill="FFFFFF"/>
          <w:lang w:eastAsia="en-US" w:bidi="ar-SA"/>
        </w:rPr>
        <w:t>a</w:t>
      </w:r>
      <w:r>
        <w:rPr>
          <w:color w:val="000000"/>
          <w:szCs w:val="20"/>
          <w:shd w:val="clear" w:color="auto" w:fill="FFFFFF"/>
          <w:lang w:val="en-US" w:eastAsia="en-US" w:bidi="ar-SA"/>
        </w:rPr>
        <w:t xml:space="preserve"> do krioterapii miejscowej, głowica bezobsługowa ultradźwiękowa </w:t>
      </w:r>
      <w:r>
        <w:rPr>
          <w:color w:val="000000"/>
          <w:szCs w:val="20"/>
          <w:shd w:val="clear" w:color="auto" w:fill="FFFFFF"/>
          <w:lang w:eastAsia="en-US" w:bidi="ar-SA"/>
        </w:rPr>
        <w:t xml:space="preserve">- </w:t>
      </w:r>
      <w:r>
        <w:rPr>
          <w:color w:val="000000"/>
          <w:szCs w:val="20"/>
          <w:shd w:val="clear" w:color="auto" w:fill="FFFFFF"/>
          <w:lang w:val="en-US" w:eastAsia="en-US" w:bidi="ar-SA"/>
        </w:rPr>
        <w:t>dotacja Miast</w:t>
      </w:r>
      <w:r>
        <w:rPr>
          <w:color w:val="000000"/>
          <w:szCs w:val="20"/>
          <w:shd w:val="clear" w:color="auto" w:fill="FFFFFF"/>
          <w:lang w:eastAsia="en-US" w:bidi="ar-SA"/>
        </w:rPr>
        <w:t>a</w:t>
      </w:r>
      <w:r>
        <w:rPr>
          <w:color w:val="000000"/>
          <w:szCs w:val="20"/>
          <w:shd w:val="clear" w:color="auto" w:fill="FFFFFF"/>
          <w:lang w:val="en-US" w:eastAsia="en-US" w:bidi="ar-SA"/>
        </w:rPr>
        <w:t xml:space="preserve"> Ł</w:t>
      </w:r>
      <w:r>
        <w:rPr>
          <w:color w:val="000000"/>
          <w:szCs w:val="20"/>
          <w:shd w:val="clear" w:color="auto" w:fill="FFFFFF"/>
          <w:lang w:eastAsia="en-US" w:bidi="ar-SA"/>
        </w:rPr>
        <w:t>o</w:t>
      </w:r>
      <w:r>
        <w:rPr>
          <w:color w:val="000000"/>
          <w:szCs w:val="20"/>
          <w:shd w:val="clear" w:color="auto" w:fill="FFFFFF"/>
          <w:lang w:val="en-US" w:eastAsia="en-US" w:bidi="ar-SA"/>
        </w:rPr>
        <w:t>d</w:t>
      </w:r>
      <w:r>
        <w:rPr>
          <w:color w:val="000000"/>
          <w:szCs w:val="20"/>
          <w:shd w:val="clear" w:color="auto" w:fill="FFFFFF"/>
          <w:lang w:eastAsia="en-US" w:bidi="ar-SA"/>
        </w:rPr>
        <w:t>zi</w:t>
      </w:r>
      <w:r>
        <w:rPr>
          <w:color w:val="000000"/>
          <w:szCs w:val="20"/>
          <w:shd w:val="clear" w:color="auto" w:fill="FFFFFF"/>
          <w:lang w:val="en-US" w:eastAsia="en-US" w:bidi="ar-SA"/>
        </w:rPr>
        <w:t xml:space="preserve"> kwota 6</w:t>
      </w:r>
      <w:r>
        <w:rPr>
          <w:color w:val="000000"/>
          <w:szCs w:val="20"/>
          <w:shd w:val="clear" w:color="auto" w:fill="FFFFFF"/>
          <w:lang w:eastAsia="en-US" w:bidi="ar-SA"/>
        </w:rPr>
        <w:t>.</w:t>
      </w:r>
      <w:r>
        <w:rPr>
          <w:color w:val="000000"/>
          <w:szCs w:val="20"/>
          <w:shd w:val="clear" w:color="auto" w:fill="FFFFFF"/>
          <w:lang w:val="en-US" w:eastAsia="en-US" w:bidi="ar-SA"/>
        </w:rPr>
        <w:t>000,00 zł</w:t>
      </w:r>
      <w:r>
        <w:rPr>
          <w:color w:val="000000"/>
          <w:szCs w:val="20"/>
          <w:shd w:val="clear" w:color="auto" w:fill="FFFFFF"/>
          <w:lang w:eastAsia="en-US" w:bidi="ar-SA"/>
        </w:rPr>
        <w:t>,</w:t>
      </w:r>
      <w:r>
        <w:rPr>
          <w:color w:val="000000"/>
          <w:szCs w:val="20"/>
          <w:shd w:val="clear" w:color="auto" w:fill="FFFFFF"/>
          <w:lang w:val="en-US" w:eastAsia="en-US" w:bidi="ar-SA"/>
        </w:rPr>
        <w:t xml:space="preserve"> </w:t>
      </w:r>
    </w:p>
    <w:p w:rsidR="00B91C8A" w:rsidRDefault="004E7132">
      <w:pPr>
        <w:numPr>
          <w:ilvl w:val="0"/>
          <w:numId w:val="21"/>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eastAsia="en-US" w:bidi="ar-SA"/>
        </w:rPr>
        <w:t>dokonano modernizacji energetycznej budynku MCM „Widzew” w Łodzi II etap - dotacja 218 250,00 zł z WFOŚiGW</w:t>
      </w:r>
      <w:r>
        <w:rPr>
          <w:color w:val="000000"/>
          <w:szCs w:val="20"/>
          <w:shd w:val="clear" w:color="auto" w:fill="FFFFFF"/>
          <w:lang w:val="en-US" w:eastAsia="en-US" w:bidi="ar-SA"/>
        </w:rPr>
        <w:t>.</w:t>
      </w:r>
    </w:p>
    <w:p w:rsidR="00B91C8A" w:rsidRDefault="00B91C8A">
      <w:pPr>
        <w:spacing w:after="160" w:line="259" w:lineRule="auto"/>
        <w:ind w:left="720"/>
        <w:contextualSpacing/>
        <w:jc w:val="both"/>
        <w:rPr>
          <w:color w:val="000000"/>
          <w:szCs w:val="20"/>
          <w:shd w:val="clear" w:color="auto" w:fill="FFFFFF"/>
          <w:lang w:val="en-US" w:eastAsia="en-US" w:bidi="ar-SA"/>
        </w:rPr>
      </w:pPr>
    </w:p>
    <w:p w:rsidR="00B91C8A" w:rsidRDefault="00B91C8A">
      <w:pPr>
        <w:spacing w:after="160" w:line="259" w:lineRule="auto"/>
        <w:ind w:left="720"/>
        <w:contextualSpacing/>
        <w:jc w:val="both"/>
        <w:rPr>
          <w:color w:val="000000"/>
          <w:szCs w:val="20"/>
          <w:shd w:val="clear" w:color="auto" w:fill="FFFFFF"/>
          <w:lang w:val="en-US" w:eastAsia="en-US" w:bidi="ar-SA"/>
        </w:rPr>
      </w:pPr>
    </w:p>
    <w:p w:rsidR="00B91C8A" w:rsidRDefault="00B91C8A">
      <w:pPr>
        <w:spacing w:after="160" w:line="259" w:lineRule="auto"/>
        <w:ind w:left="720"/>
        <w:contextualSpacing/>
        <w:jc w:val="both"/>
        <w:rPr>
          <w:color w:val="000000"/>
          <w:szCs w:val="20"/>
          <w:shd w:val="clear" w:color="auto" w:fill="FFFFFF"/>
          <w:lang w:val="en-US" w:eastAsia="en-US" w:bidi="ar-SA"/>
        </w:rPr>
      </w:pPr>
    </w:p>
    <w:p w:rsidR="00B91C8A" w:rsidRDefault="004E7132">
      <w:pPr>
        <w:numPr>
          <w:ilvl w:val="0"/>
          <w:numId w:val="12"/>
        </w:numPr>
        <w:spacing w:after="160" w:line="276" w:lineRule="auto"/>
        <w:ind w:left="284" w:hanging="142"/>
        <w:contextualSpacing/>
        <w:jc w:val="both"/>
        <w:rPr>
          <w:b/>
          <w:color w:val="000000"/>
          <w:szCs w:val="20"/>
          <w:u w:val="single"/>
          <w:shd w:val="clear" w:color="auto" w:fill="FFFFFF"/>
          <w:lang w:val="en-US" w:eastAsia="en-US" w:bidi="ar-SA"/>
        </w:rPr>
      </w:pPr>
      <w:bookmarkStart w:id="12" w:name="_Hlk212560540"/>
      <w:r>
        <w:rPr>
          <w:b/>
          <w:color w:val="000000"/>
          <w:szCs w:val="20"/>
          <w:u w:val="single"/>
          <w:shd w:val="clear" w:color="auto" w:fill="FFFFFF"/>
          <w:lang w:val="en-US" w:eastAsia="en-US" w:bidi="ar-SA"/>
        </w:rPr>
        <w:t>Wskaźniki ekonomiczno-finansowe – ocena merytoryczna</w:t>
      </w:r>
    </w:p>
    <w:p w:rsidR="00B91C8A" w:rsidRDefault="00B91C8A">
      <w:pPr>
        <w:spacing w:after="160" w:line="276" w:lineRule="auto"/>
        <w:ind w:left="284"/>
        <w:contextualSpacing/>
        <w:jc w:val="both"/>
        <w:rPr>
          <w:b/>
          <w:color w:val="000000"/>
          <w:szCs w:val="20"/>
          <w:u w:val="single"/>
          <w:shd w:val="clear" w:color="auto" w:fill="FFFFFF"/>
          <w:lang w:val="en-US" w:eastAsia="en-US" w:bidi="ar-SA"/>
        </w:rPr>
      </w:pPr>
    </w:p>
    <w:bookmarkEnd w:id="12"/>
    <w:p w:rsidR="00B91C8A" w:rsidRDefault="004E7132">
      <w:pPr>
        <w:numPr>
          <w:ilvl w:val="0"/>
          <w:numId w:val="22"/>
        </w:numPr>
        <w:spacing w:after="160" w:line="276" w:lineRule="auto"/>
        <w:ind w:left="567"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Wskaźniki zyskowności</w:t>
      </w:r>
      <w:r>
        <w:rPr>
          <w:color w:val="000000"/>
          <w:szCs w:val="20"/>
          <w:shd w:val="clear" w:color="auto" w:fill="FFFFFF"/>
          <w:lang w:val="en-US" w:eastAsia="en-US" w:bidi="ar-SA"/>
        </w:rPr>
        <w:t xml:space="preserve">  - MCM</w:t>
      </w:r>
      <w:r>
        <w:rPr>
          <w:color w:val="000000"/>
          <w:szCs w:val="20"/>
          <w:shd w:val="clear" w:color="auto" w:fill="FFFFFF"/>
          <w:lang w:val="en-US" w:eastAsia="en-US" w:bidi="en-US"/>
        </w:rPr>
        <w:t xml:space="preserve"> </w:t>
      </w:r>
      <w:r>
        <w:rPr>
          <w:color w:val="000000"/>
          <w:szCs w:val="20"/>
          <w:shd w:val="clear" w:color="auto" w:fill="FFFFFF"/>
          <w:lang w:val="en-US" w:eastAsia="en-US" w:bidi="ar-SA"/>
        </w:rPr>
        <w:t xml:space="preserve">„Widzew” w Łodzi za rok 2024 osiągnęło 15 na 15 punktów w skumulowanej skali wskaźników zyskowności. </w:t>
      </w:r>
    </w:p>
    <w:p w:rsidR="00B91C8A" w:rsidRDefault="004E7132">
      <w:pPr>
        <w:spacing w:after="160" w:line="276" w:lineRule="auto"/>
        <w:ind w:left="567"/>
        <w:contextualSpacing/>
        <w:jc w:val="both"/>
        <w:rPr>
          <w:color w:val="000000"/>
          <w:szCs w:val="20"/>
          <w:shd w:val="clear" w:color="auto" w:fill="FFFFFF"/>
          <w:lang w:val="en-US" w:eastAsia="en-US" w:bidi="ar-SA"/>
        </w:rPr>
      </w:pPr>
      <w:r>
        <w:rPr>
          <w:color w:val="000000"/>
          <w:szCs w:val="20"/>
          <w:shd w:val="clear" w:color="auto" w:fill="FFFFFF"/>
          <w:lang w:val="en-US" w:eastAsia="en-US" w:bidi="ar-SA"/>
        </w:rPr>
        <w:t>Podstawą oceny zyskowności działalności gospodarczej jest wynik finansowy. Wskaźniki zyskowności odzwierciedlają zdolność jednostki do generowania zysku, a zatem określają ekonomiczną efektywność działalności. Im większa jest nadwyżka przychodów nad kosztami prowadzonej działalności, tym wyższe są wartości wskaźników. W przypadku MCM „Widzew” w</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Łodzi wskaźniki osiągają wartości dodatnie, co jest wynikiem wygenerowania zysku netto za rok 2024 i skutkuje </w:t>
      </w:r>
      <w:r>
        <w:rPr>
          <w:color w:val="000000"/>
          <w:szCs w:val="20"/>
          <w:shd w:val="clear" w:color="auto" w:fill="FFFFFF"/>
        </w:rPr>
        <w:br/>
      </w:r>
      <w:r>
        <w:rPr>
          <w:color w:val="000000"/>
          <w:szCs w:val="20"/>
          <w:shd w:val="clear" w:color="auto" w:fill="FFFFFF"/>
          <w:lang w:val="en-US" w:eastAsia="en-US" w:bidi="ar-SA"/>
        </w:rPr>
        <w:t>15 -punktową oceną w tym obszarze.</w:t>
      </w:r>
    </w:p>
    <w:tbl>
      <w:tblPr>
        <w:tblW w:w="4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1505"/>
        <w:gridCol w:w="1661"/>
        <w:gridCol w:w="2487"/>
      </w:tblGrid>
      <w:tr w:rsidR="00B91C8A">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Wskaźnik zyskowności</w:t>
            </w:r>
          </w:p>
          <w:p w:rsidR="00B91C8A" w:rsidRDefault="00B91C8A">
            <w:pPr>
              <w:rPr>
                <w:b/>
                <w:color w:val="000000"/>
                <w:szCs w:val="20"/>
                <w:shd w:val="clear" w:color="auto" w:fill="FFFFFF"/>
                <w:lang w:eastAsia="en-US" w:bidi="ar-SA"/>
              </w:rPr>
            </w:pP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Rok 2024</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 xml:space="preserve">Wskaźnik </w:t>
            </w:r>
          </w:p>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Rok 2023</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Analiza trendu</w:t>
            </w:r>
          </w:p>
          <w:p w:rsidR="00B91C8A" w:rsidRDefault="004E7132">
            <w:pPr>
              <w:rPr>
                <w:b/>
                <w:color w:val="000000"/>
                <w:szCs w:val="20"/>
                <w:shd w:val="clear" w:color="auto" w:fill="FFFFFF"/>
                <w:lang w:eastAsia="en-US" w:bidi="ar-SA"/>
              </w:rPr>
            </w:pPr>
            <w:r>
              <w:rPr>
                <w:b/>
                <w:color w:val="000000"/>
                <w:szCs w:val="20"/>
                <w:shd w:val="clear" w:color="auto" w:fill="FFFFFF"/>
                <w:lang w:eastAsia="en-US" w:bidi="ar-SA"/>
              </w:rPr>
              <w:t>2024 do 2023</w:t>
            </w:r>
          </w:p>
        </w:tc>
      </w:tr>
      <w:tr w:rsidR="00B91C8A">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zyskowności netto</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8,47</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11,07</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pogorszenie (-)2,60</w:t>
            </w:r>
          </w:p>
        </w:tc>
      </w:tr>
      <w:tr w:rsidR="00B91C8A">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zyskowności działalności operacyjnej</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7,61</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10,29</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pogorszenie (-)2,68</w:t>
            </w:r>
          </w:p>
        </w:tc>
      </w:tr>
      <w:tr w:rsidR="00B91C8A">
        <w:trPr>
          <w:trHeight w:val="300"/>
          <w:jc w:val="center"/>
        </w:trPr>
        <w:tc>
          <w:tcPr>
            <w:tcW w:w="16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numPr>
                <w:ilvl w:val="0"/>
                <w:numId w:val="11"/>
              </w:numPr>
              <w:ind w:left="30" w:hanging="543"/>
              <w:jc w:val="left"/>
              <w:rPr>
                <w:color w:val="000000"/>
                <w:szCs w:val="20"/>
                <w:shd w:val="clear" w:color="auto" w:fill="FFFFFF"/>
                <w:lang w:eastAsia="en-US" w:bidi="ar-SA"/>
              </w:rPr>
            </w:pPr>
            <w:r>
              <w:rPr>
                <w:color w:val="000000"/>
                <w:szCs w:val="20"/>
                <w:shd w:val="clear" w:color="auto" w:fill="FFFFFF"/>
                <w:lang w:eastAsia="en-US" w:bidi="ar-SA"/>
              </w:rPr>
              <w:t>zyskowności aktywów</w:t>
            </w:r>
          </w:p>
        </w:tc>
        <w:tc>
          <w:tcPr>
            <w:tcW w:w="881"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9,86</w:t>
            </w:r>
          </w:p>
        </w:tc>
        <w:tc>
          <w:tcPr>
            <w:tcW w:w="972"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13,35</w:t>
            </w:r>
          </w:p>
        </w:tc>
        <w:tc>
          <w:tcPr>
            <w:tcW w:w="1456"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color w:val="000000"/>
                <w:szCs w:val="20"/>
                <w:shd w:val="clear" w:color="auto" w:fill="FFFFFF"/>
                <w:lang w:eastAsia="en-US" w:bidi="ar-SA"/>
              </w:rPr>
              <w:t>pogorszenie (-)3,49</w:t>
            </w:r>
          </w:p>
        </w:tc>
      </w:tr>
    </w:tbl>
    <w:p w:rsidR="00B91C8A" w:rsidRDefault="00B91C8A">
      <w:pPr>
        <w:spacing w:afterAutospacing="1"/>
        <w:ind w:left="426"/>
        <w:contextualSpacing/>
        <w:jc w:val="both"/>
        <w:rPr>
          <w:color w:val="000000"/>
          <w:szCs w:val="20"/>
          <w:shd w:val="clear" w:color="auto" w:fill="FFFFFF"/>
          <w:lang w:eastAsia="en-US" w:bidi="ar-SA"/>
        </w:rPr>
      </w:pPr>
    </w:p>
    <w:p w:rsidR="00B91C8A" w:rsidRDefault="004E7132">
      <w:pPr>
        <w:numPr>
          <w:ilvl w:val="0"/>
          <w:numId w:val="22"/>
        </w:numPr>
        <w:spacing w:after="160" w:afterAutospacing="1" w:line="259" w:lineRule="auto"/>
        <w:ind w:left="709"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Wskaźniki płynności finansowej</w:t>
      </w:r>
      <w:r>
        <w:rPr>
          <w:color w:val="000000"/>
          <w:szCs w:val="20"/>
          <w:shd w:val="clear" w:color="auto" w:fill="FFFFFF"/>
          <w:lang w:val="en-US" w:eastAsia="en-US" w:bidi="ar-SA"/>
        </w:rPr>
        <w:t xml:space="preserve"> określają zdolność podmiotu do terminowego regulowania zobowiązań, ocenia się ją na podstawie relacji aktywów obrotowych do zobowiązań i rezerw krótkoterminowych. MCM „Widzew” w Łodzi osiągnęło 20 na 25 punktów w skumulowanej skali </w:t>
      </w:r>
      <w:r>
        <w:rPr>
          <w:b/>
          <w:color w:val="000000"/>
          <w:szCs w:val="20"/>
          <w:shd w:val="clear" w:color="auto" w:fill="FFFFFF"/>
          <w:lang w:val="en-US" w:eastAsia="en-US" w:bidi="ar-SA"/>
        </w:rPr>
        <w:t>wskaźników płynności</w:t>
      </w:r>
      <w:r>
        <w:rPr>
          <w:color w:val="000000"/>
          <w:szCs w:val="20"/>
          <w:shd w:val="clear" w:color="auto" w:fill="FFFFFF"/>
          <w:lang w:val="en-US" w:eastAsia="en-US" w:bidi="ar-SA"/>
        </w:rPr>
        <w:t>. Poszczególne ich wielkości wynosiły:</w:t>
      </w:r>
    </w:p>
    <w:p w:rsidR="00B91C8A" w:rsidRDefault="004E7132">
      <w:pPr>
        <w:numPr>
          <w:ilvl w:val="0"/>
          <w:numId w:val="23"/>
        </w:numPr>
        <w:spacing w:after="160" w:afterAutospacing="1" w:line="259" w:lineRule="auto"/>
        <w:ind w:left="1134"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bieżącej płynności</w:t>
      </w:r>
      <w:r>
        <w:rPr>
          <w:color w:val="000000"/>
          <w:szCs w:val="20"/>
          <w:shd w:val="clear" w:color="auto" w:fill="FFFFFF"/>
          <w:lang w:val="en-US" w:eastAsia="en-US" w:bidi="ar-SA"/>
        </w:rPr>
        <w:t xml:space="preserve"> 4,33; za rok 2023 3,86,</w:t>
      </w:r>
    </w:p>
    <w:p w:rsidR="00B91C8A" w:rsidRDefault="004E7132">
      <w:pPr>
        <w:numPr>
          <w:ilvl w:val="0"/>
          <w:numId w:val="23"/>
        </w:numPr>
        <w:spacing w:after="160" w:afterAutospacing="1" w:line="259" w:lineRule="auto"/>
        <w:ind w:left="1134"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szybkiej płynności</w:t>
      </w:r>
      <w:r>
        <w:rPr>
          <w:color w:val="000000"/>
          <w:szCs w:val="20"/>
          <w:shd w:val="clear" w:color="auto" w:fill="FFFFFF"/>
          <w:lang w:val="en-US" w:eastAsia="en-US" w:bidi="ar-SA"/>
        </w:rPr>
        <w:t xml:space="preserve"> 4,32; za rok 2023 3,82.</w:t>
      </w:r>
    </w:p>
    <w:p w:rsidR="00B91C8A" w:rsidRDefault="004E7132">
      <w:pPr>
        <w:spacing w:after="160" w:afterAutospacing="1" w:line="259" w:lineRule="auto"/>
        <w:ind w:left="709"/>
        <w:contextualSpacing/>
        <w:jc w:val="both"/>
        <w:rPr>
          <w:color w:val="000000"/>
          <w:szCs w:val="20"/>
          <w:shd w:val="clear" w:color="auto" w:fill="FFFFFF"/>
          <w:lang w:val="en-US" w:eastAsia="en-US" w:bidi="ar-SA"/>
        </w:rPr>
      </w:pPr>
      <w:r>
        <w:rPr>
          <w:color w:val="000000"/>
          <w:szCs w:val="20"/>
          <w:shd w:val="clear" w:color="auto" w:fill="FFFFFF"/>
          <w:lang w:val="en-US" w:eastAsia="en-US" w:bidi="ar-SA"/>
        </w:rPr>
        <w:t>Wartości wskaźników płynności mają przybliżoną wartość, co oznacza, że jednostka nie generuje dużych zapasów; wskaźnik bieżącej i szybkiej płynności mieści się w przedziale 4,33-4,32 co oznacza, że wartość aktywów obrotowych jest ponad cztery razy większa od wartości zobowiązań krótkoterminowych i rezerw krótkoterminowych. Wartość wskaźników wskazuje, iż</w:t>
      </w:r>
      <w:r>
        <w:rPr>
          <w:color w:val="000000"/>
          <w:szCs w:val="20"/>
          <w:shd w:val="clear" w:color="auto" w:fill="FFFFFF"/>
          <w:lang w:eastAsia="en-US" w:bidi="ar-SA"/>
        </w:rPr>
        <w:t xml:space="preserve"> </w:t>
      </w:r>
      <w:r>
        <w:rPr>
          <w:color w:val="000000"/>
          <w:szCs w:val="20"/>
          <w:shd w:val="clear" w:color="auto" w:fill="FFFFFF"/>
          <w:lang w:val="en-US" w:eastAsia="en-US" w:bidi="ar-SA"/>
        </w:rPr>
        <w:t>jednostka posiada wystarczające aktywa obrotowe do regulowania swoich zobowiązań i rezerw krótkoterminowych. W 2024 roku w porównaniu do roku 2023 wskaźniki uległy zwiększeniu, gdyż aktywa obrotowe (bez krótkoterminowych rozliczeń międzyokresowych) uległy zwiększeniu o 12,145%</w:t>
      </w:r>
      <w:r>
        <w:rPr>
          <w:color w:val="000000"/>
          <w:szCs w:val="20"/>
          <w:shd w:val="clear" w:color="auto" w:fill="FFFFFF"/>
          <w:lang w:val="en-US" w:eastAsia="en-US" w:bidi="en-US"/>
        </w:rPr>
        <w:t xml:space="preserve">, </w:t>
      </w:r>
      <w:r>
        <w:rPr>
          <w:color w:val="000000"/>
          <w:szCs w:val="20"/>
          <w:shd w:val="clear" w:color="auto" w:fill="FFFFFF"/>
          <w:lang w:val="en-US" w:eastAsia="en-US" w:bidi="ar-SA"/>
        </w:rPr>
        <w:t>tj. o kwotę 1.233.664 zł (z kwoty 10.159.277 zł na kwotę 11.392.941 zł), przy utrzymaniu stanu zobowiąza</w:t>
      </w:r>
      <w:r>
        <w:rPr>
          <w:color w:val="000000"/>
          <w:szCs w:val="20"/>
          <w:shd w:val="clear" w:color="auto" w:fill="FFFFFF"/>
          <w:lang w:eastAsia="en-US" w:bidi="ar-SA"/>
        </w:rPr>
        <w:t>ń</w:t>
      </w:r>
      <w:r>
        <w:rPr>
          <w:color w:val="000000"/>
          <w:szCs w:val="20"/>
          <w:shd w:val="clear" w:color="auto" w:fill="FFFFFF"/>
          <w:lang w:val="en-US" w:eastAsia="en-US" w:bidi="ar-SA"/>
        </w:rPr>
        <w:t xml:space="preserve"> krótkoterminow</w:t>
      </w:r>
      <w:r>
        <w:rPr>
          <w:color w:val="000000"/>
          <w:szCs w:val="20"/>
          <w:shd w:val="clear" w:color="auto" w:fill="FFFFFF"/>
          <w:lang w:eastAsia="en-US" w:bidi="ar-SA"/>
        </w:rPr>
        <w:t>ych</w:t>
      </w:r>
      <w:r>
        <w:rPr>
          <w:color w:val="000000"/>
          <w:szCs w:val="20"/>
          <w:shd w:val="clear" w:color="auto" w:fill="FFFFFF"/>
          <w:lang w:val="en-US" w:eastAsia="en-US" w:bidi="ar-SA"/>
        </w:rPr>
        <w:t xml:space="preserve"> i rezerw na zobowiązania krótkoterminowe (wzrost stanowił  0,4%</w:t>
      </w:r>
      <w:r>
        <w:rPr>
          <w:color w:val="000000"/>
          <w:szCs w:val="20"/>
          <w:shd w:val="clear" w:color="auto" w:fill="FFFFFF"/>
          <w:lang w:val="en-US" w:eastAsia="en-US" w:bidi="en-US"/>
        </w:rPr>
        <w:t>,</w:t>
      </w:r>
      <w:r>
        <w:rPr>
          <w:color w:val="000000"/>
          <w:szCs w:val="20"/>
          <w:shd w:val="clear" w:color="auto" w:fill="FFFFFF"/>
          <w:lang w:val="en-US" w:eastAsia="en-US" w:bidi="ar-SA"/>
        </w:rPr>
        <w:t xml:space="preserve"> tj. o kwotę 984 zł z kwoty 2.639.730 </w:t>
      </w:r>
      <w:r>
        <w:rPr>
          <w:color w:val="000000"/>
          <w:szCs w:val="20"/>
          <w:shd w:val="clear" w:color="auto" w:fill="FFFFFF"/>
          <w:lang w:val="en-US" w:eastAsia="en-US" w:bidi="en-US"/>
        </w:rPr>
        <w:t xml:space="preserve">zł </w:t>
      </w:r>
      <w:r>
        <w:rPr>
          <w:color w:val="000000"/>
          <w:szCs w:val="20"/>
          <w:shd w:val="clear" w:color="auto" w:fill="FFFFFF"/>
          <w:lang w:val="en-US" w:eastAsia="en-US" w:bidi="ar-SA"/>
        </w:rPr>
        <w:t xml:space="preserve">na kwotę 2.630.714 zł), </w:t>
      </w:r>
    </w:p>
    <w:p w:rsidR="00B91C8A" w:rsidRDefault="00B91C8A">
      <w:pPr>
        <w:spacing w:after="160" w:afterAutospacing="1" w:line="259" w:lineRule="auto"/>
        <w:ind w:left="709" w:hanging="425"/>
        <w:contextualSpacing/>
        <w:jc w:val="both"/>
        <w:rPr>
          <w:color w:val="000000"/>
          <w:szCs w:val="20"/>
          <w:shd w:val="clear" w:color="auto" w:fill="FFFFFF"/>
          <w:lang w:val="en-US" w:eastAsia="en-US" w:bidi="ar-SA"/>
        </w:rPr>
      </w:pPr>
    </w:p>
    <w:p w:rsidR="00B91C8A" w:rsidRDefault="004E7132">
      <w:pPr>
        <w:numPr>
          <w:ilvl w:val="0"/>
          <w:numId w:val="22"/>
        </w:numPr>
        <w:spacing w:after="160" w:afterAutospacing="1" w:line="288" w:lineRule="auto"/>
        <w:ind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lastRenderedPageBreak/>
        <w:t>Wskaźniki efektywności</w:t>
      </w:r>
      <w:r>
        <w:rPr>
          <w:color w:val="000000"/>
          <w:szCs w:val="20"/>
          <w:shd w:val="clear" w:color="auto" w:fill="FFFFFF"/>
          <w:lang w:val="en-US" w:eastAsia="en-US" w:bidi="ar-SA"/>
        </w:rPr>
        <w:t xml:space="preserve"> - wskaźniki te opisują efektywność przyjętej polityki zarządzania przepływami pieniężnymi, tzn. mogą sygnalizować ryzyko utraty płynności finansowej przez jednostkę. Optymalną jest sytuacja, gdy wskaźnik rotacji zobowiązań jest wyższy lub równy wskaźnikowi rotacji należności. </w:t>
      </w:r>
    </w:p>
    <w:p w:rsidR="00B91C8A" w:rsidRDefault="004E7132">
      <w:pPr>
        <w:spacing w:before="240" w:line="276" w:lineRule="auto"/>
        <w:ind w:left="709"/>
        <w:jc w:val="both"/>
        <w:rPr>
          <w:color w:val="000000"/>
          <w:szCs w:val="20"/>
          <w:shd w:val="clear" w:color="auto" w:fill="FFFFFF"/>
          <w:lang w:eastAsia="en-US" w:bidi="ar-SA"/>
        </w:rPr>
      </w:pPr>
      <w:r>
        <w:rPr>
          <w:color w:val="000000"/>
          <w:szCs w:val="20"/>
          <w:shd w:val="clear" w:color="auto" w:fill="FFFFFF"/>
          <w:lang w:eastAsia="en-US" w:bidi="ar-SA"/>
        </w:rPr>
        <w:t xml:space="preserve">MCM „Widzew” w Łodzi osiągnęło 10 na 10 punktów w skumulowanej skali </w:t>
      </w:r>
      <w:r>
        <w:rPr>
          <w:b/>
          <w:color w:val="000000"/>
          <w:szCs w:val="20"/>
          <w:shd w:val="clear" w:color="auto" w:fill="FFFFFF"/>
          <w:lang w:eastAsia="en-US" w:bidi="ar-SA"/>
        </w:rPr>
        <w:t>wskaźników efektywności</w:t>
      </w:r>
      <w:r>
        <w:rPr>
          <w:color w:val="000000"/>
          <w:szCs w:val="20"/>
          <w:shd w:val="clear" w:color="auto" w:fill="FFFFFF"/>
          <w:lang w:eastAsia="en-US" w:bidi="ar-SA"/>
        </w:rPr>
        <w:t>. Poszczególne ich wielkości wynosiły:</w:t>
      </w:r>
    </w:p>
    <w:p w:rsidR="00B91C8A" w:rsidRDefault="004E7132">
      <w:pPr>
        <w:numPr>
          <w:ilvl w:val="0"/>
          <w:numId w:val="24"/>
        </w:numPr>
        <w:spacing w:after="160" w:line="276" w:lineRule="auto"/>
        <w:ind w:left="1134"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wskaźnik rotacji należności </w:t>
      </w:r>
      <w:r>
        <w:rPr>
          <w:color w:val="000000"/>
          <w:szCs w:val="20"/>
          <w:shd w:val="clear" w:color="auto" w:fill="FFFFFF"/>
          <w:lang w:val="en-US" w:eastAsia="en-US" w:bidi="ar-SA"/>
        </w:rPr>
        <w:t>wynosi 35 dni; w roku 2023 wyniósł 37 dni,</w:t>
      </w:r>
    </w:p>
    <w:p w:rsidR="00B91C8A" w:rsidRDefault="004E7132">
      <w:pPr>
        <w:numPr>
          <w:ilvl w:val="0"/>
          <w:numId w:val="24"/>
        </w:numPr>
        <w:spacing w:after="160" w:line="276" w:lineRule="auto"/>
        <w:ind w:left="1134" w:hanging="425"/>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wskaźnik rotacji zobowiązań</w:t>
      </w:r>
      <w:r>
        <w:rPr>
          <w:color w:val="000000"/>
          <w:szCs w:val="20"/>
          <w:shd w:val="clear" w:color="auto" w:fill="FFFFFF"/>
          <w:lang w:val="en-US" w:eastAsia="en-US" w:bidi="ar-SA"/>
        </w:rPr>
        <w:t xml:space="preserve"> wynosi</w:t>
      </w:r>
      <w:r>
        <w:rPr>
          <w:b/>
          <w:color w:val="000000"/>
          <w:szCs w:val="20"/>
          <w:shd w:val="clear" w:color="auto" w:fill="FFFFFF"/>
          <w:lang w:val="en-US" w:eastAsia="en-US" w:bidi="ar-SA"/>
        </w:rPr>
        <w:t xml:space="preserve"> </w:t>
      </w:r>
      <w:r>
        <w:rPr>
          <w:color w:val="000000"/>
          <w:szCs w:val="20"/>
          <w:shd w:val="clear" w:color="auto" w:fill="FFFFFF"/>
          <w:lang w:val="en-US" w:eastAsia="en-US" w:bidi="ar-SA"/>
        </w:rPr>
        <w:t>12 dni; w roku 2023 wyniósł 12 dni.</w:t>
      </w:r>
    </w:p>
    <w:p w:rsidR="00B91C8A" w:rsidRDefault="004E7132">
      <w:pPr>
        <w:spacing w:after="160" w:line="276" w:lineRule="auto"/>
        <w:ind w:left="709"/>
        <w:contextualSpacing/>
        <w:jc w:val="both"/>
        <w:rPr>
          <w:color w:val="000000"/>
          <w:szCs w:val="20"/>
          <w:shd w:val="clear" w:color="auto" w:fill="FFFFFF"/>
          <w:lang w:val="en-US" w:eastAsia="en-US" w:bidi="en-US"/>
        </w:rPr>
      </w:pPr>
      <w:r>
        <w:rPr>
          <w:color w:val="000000"/>
          <w:szCs w:val="20"/>
          <w:shd w:val="clear" w:color="auto" w:fill="FFFFFF"/>
          <w:lang w:val="en-US" w:eastAsia="en-US" w:bidi="ar-SA"/>
        </w:rPr>
        <w:t xml:space="preserve">W 2024 roku </w:t>
      </w:r>
      <w:r>
        <w:rPr>
          <w:b/>
          <w:color w:val="000000"/>
          <w:szCs w:val="20"/>
          <w:shd w:val="clear" w:color="auto" w:fill="FFFFFF"/>
          <w:lang w:val="en-US" w:eastAsia="en-US" w:bidi="ar-SA"/>
        </w:rPr>
        <w:t>wskaźnik rotacji należności</w:t>
      </w:r>
      <w:r>
        <w:rPr>
          <w:color w:val="000000"/>
          <w:szCs w:val="20"/>
          <w:shd w:val="clear" w:color="auto" w:fill="FFFFFF"/>
          <w:lang w:val="en-US" w:eastAsia="en-US" w:bidi="ar-SA"/>
        </w:rPr>
        <w:t xml:space="preserve"> wynosił 35 dni, co oznacza że jednostka średnio oczekiwała 35 dni na uzyskanie należności za świadczone usługi. Natomiast </w:t>
      </w:r>
      <w:r>
        <w:rPr>
          <w:b/>
          <w:color w:val="000000"/>
          <w:szCs w:val="20"/>
          <w:shd w:val="clear" w:color="auto" w:fill="FFFFFF"/>
          <w:lang w:val="en-US" w:eastAsia="en-US" w:bidi="ar-SA"/>
        </w:rPr>
        <w:t xml:space="preserve">wskaźnik rotacji zobowiązań </w:t>
      </w:r>
      <w:r>
        <w:rPr>
          <w:color w:val="000000"/>
          <w:szCs w:val="20"/>
          <w:shd w:val="clear" w:color="auto" w:fill="FFFFFF"/>
          <w:lang w:val="en-US" w:eastAsia="en-US" w:bidi="ar-SA"/>
        </w:rPr>
        <w:t>wynosił 12 dni, co oznacza że jednostka spłacała swoje zobowiązania z tytułu dostaw towarów i usług średnio w przeciągu 12 dni. Niski poziom rotacji zobowiązań wskazuje na krótki czas konieczny do regulowania własnych zobowiązań krótkoterminowych. Wskazane wartości należy ocenić pozytywnie</w:t>
      </w:r>
      <w:r>
        <w:rPr>
          <w:color w:val="000000"/>
          <w:szCs w:val="20"/>
          <w:shd w:val="clear" w:color="auto" w:fill="FFFFFF"/>
          <w:lang w:val="en-US" w:eastAsia="en-US" w:bidi="en-US"/>
        </w:rPr>
        <w:t>.</w:t>
      </w:r>
    </w:p>
    <w:p w:rsidR="00B91C8A" w:rsidRDefault="00B91C8A">
      <w:pPr>
        <w:spacing w:after="160" w:line="276" w:lineRule="auto"/>
        <w:ind w:left="709"/>
        <w:contextualSpacing/>
        <w:jc w:val="both"/>
        <w:rPr>
          <w:color w:val="000000"/>
          <w:szCs w:val="20"/>
          <w:shd w:val="clear" w:color="auto" w:fill="FFFFFF"/>
          <w:lang w:val="en-US" w:eastAsia="en-US" w:bidi="ar-SA"/>
        </w:rPr>
      </w:pPr>
    </w:p>
    <w:p w:rsidR="00B91C8A" w:rsidRDefault="004E7132">
      <w:pPr>
        <w:numPr>
          <w:ilvl w:val="0"/>
          <w:numId w:val="22"/>
        </w:numPr>
        <w:spacing w:after="160" w:afterAutospacing="1" w:line="288" w:lineRule="auto"/>
        <w:ind w:hanging="436"/>
        <w:contextualSpacing/>
        <w:jc w:val="both"/>
        <w:rPr>
          <w:color w:val="000000"/>
          <w:szCs w:val="20"/>
          <w:lang w:val="en-US" w:eastAsia="en-US" w:bidi="en-US"/>
        </w:rPr>
      </w:pPr>
      <w:r>
        <w:rPr>
          <w:b/>
          <w:szCs w:val="20"/>
          <w:lang w:val="en-US" w:eastAsia="en-US" w:bidi="en-US"/>
        </w:rPr>
        <w:t>Wskaźniki zadłużenia</w:t>
      </w:r>
      <w:r>
        <w:rPr>
          <w:szCs w:val="20"/>
          <w:lang w:val="en-US" w:eastAsia="en-US" w:bidi="en-US"/>
        </w:rPr>
        <w:t xml:space="preserve"> - </w:t>
      </w:r>
      <w:r>
        <w:rPr>
          <w:color w:val="000000"/>
          <w:szCs w:val="20"/>
          <w:lang w:val="en-US" w:eastAsia="en-US" w:bidi="en-US"/>
        </w:rPr>
        <w:t xml:space="preserve">stabilność finansowa podmiotu zależy w dużym stopniu od poziomu jego zadłużenia, tj. optymalnej struktury pasywów. Przyjęte do oceny sp zoz wskaźniki określają relację zadłużenia podmiotu odpowiednio do aktywów oraz kapitału własnego jednostki. </w:t>
      </w:r>
    </w:p>
    <w:p w:rsidR="00B91C8A" w:rsidRDefault="004E7132">
      <w:pPr>
        <w:spacing w:after="160" w:afterAutospacing="1" w:line="288" w:lineRule="auto"/>
        <w:ind w:left="720"/>
        <w:contextualSpacing/>
        <w:jc w:val="both"/>
        <w:rPr>
          <w:color w:val="000000"/>
          <w:szCs w:val="20"/>
          <w:lang w:val="en-US" w:eastAsia="en-US" w:bidi="en-US"/>
        </w:rPr>
      </w:pPr>
      <w:r>
        <w:rPr>
          <w:b/>
          <w:color w:val="000000"/>
          <w:szCs w:val="20"/>
          <w:lang w:val="en-US" w:eastAsia="en-US" w:bidi="en-US"/>
        </w:rPr>
        <w:t>Wskaźnik zadłużenia aktywów</w:t>
      </w:r>
      <w:r>
        <w:rPr>
          <w:color w:val="000000"/>
          <w:szCs w:val="20"/>
          <w:lang w:val="en-US" w:eastAsia="en-US" w:bidi="en-US"/>
        </w:rPr>
        <w:t xml:space="preserve"> informuje o stopniu finansowania aktywów kapitałem obcym; </w:t>
      </w:r>
      <w:r>
        <w:rPr>
          <w:b/>
          <w:color w:val="000000"/>
          <w:szCs w:val="20"/>
          <w:lang w:val="en-US" w:eastAsia="en-US" w:bidi="en-US"/>
        </w:rPr>
        <w:t>wskaźnik wypłacalności</w:t>
      </w:r>
      <w:r>
        <w:rPr>
          <w:color w:val="000000"/>
          <w:szCs w:val="20"/>
          <w:lang w:val="en-US" w:eastAsia="en-US" w:bidi="en-US"/>
        </w:rPr>
        <w:t xml:space="preserve"> określa wielkość kapitałów obcych przypadającą na jednostkę funduszu własnego</w:t>
      </w:r>
      <w:r>
        <w:rPr>
          <w:rFonts w:ascii="Calibri" w:hAnsi="Calibri"/>
          <w:color w:val="000000"/>
          <w:sz w:val="22"/>
          <w:szCs w:val="20"/>
          <w:lang w:val="en-US" w:eastAsia="en-US" w:bidi="en-US"/>
        </w:rPr>
        <w:t>.</w:t>
      </w:r>
    </w:p>
    <w:p w:rsidR="00B91C8A" w:rsidRDefault="004E7132">
      <w:pPr>
        <w:spacing w:before="240" w:line="276" w:lineRule="auto"/>
        <w:ind w:left="709"/>
        <w:jc w:val="both"/>
        <w:rPr>
          <w:color w:val="000000"/>
          <w:szCs w:val="20"/>
          <w:shd w:val="clear" w:color="auto" w:fill="FFFFFF"/>
          <w:lang w:eastAsia="en-US" w:bidi="ar-SA"/>
        </w:rPr>
      </w:pPr>
      <w:r>
        <w:rPr>
          <w:color w:val="000000"/>
          <w:szCs w:val="20"/>
          <w:shd w:val="clear" w:color="auto" w:fill="FFFFFF"/>
          <w:lang w:eastAsia="en-US" w:bidi="ar-SA"/>
        </w:rPr>
        <w:t xml:space="preserve">MCM „Widzew” w Łodzi osiągnęło 20 na 20 punktów w skumulowanej skali </w:t>
      </w:r>
      <w:r>
        <w:rPr>
          <w:b/>
          <w:color w:val="000000"/>
          <w:szCs w:val="20"/>
          <w:shd w:val="clear" w:color="auto" w:fill="FFFFFF"/>
          <w:lang w:eastAsia="en-US" w:bidi="ar-SA"/>
        </w:rPr>
        <w:t>wskaźników zadłużenia</w:t>
      </w:r>
      <w:r>
        <w:rPr>
          <w:color w:val="000000"/>
          <w:szCs w:val="20"/>
          <w:shd w:val="clear" w:color="auto" w:fill="FFFFFF"/>
          <w:lang w:eastAsia="en-US" w:bidi="ar-SA"/>
        </w:rPr>
        <w:t>. Poszczególne ich wielkości wynosiły:</w:t>
      </w:r>
    </w:p>
    <w:p w:rsidR="00B91C8A" w:rsidRDefault="004E7132">
      <w:pPr>
        <w:numPr>
          <w:ilvl w:val="0"/>
          <w:numId w:val="25"/>
        </w:numPr>
        <w:tabs>
          <w:tab w:val="left" w:pos="360"/>
        </w:tabs>
        <w:spacing w:after="160" w:line="276" w:lineRule="auto"/>
        <w:ind w:left="993"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 xml:space="preserve">zadłużenia aktywów (%) </w:t>
      </w:r>
      <w:r>
        <w:rPr>
          <w:color w:val="000000"/>
          <w:szCs w:val="20"/>
          <w:shd w:val="clear" w:color="auto" w:fill="FFFFFF"/>
          <w:lang w:val="en-US" w:eastAsia="en-US" w:bidi="ar-SA"/>
        </w:rPr>
        <w:t>(stosunek zobowiązań do aktywów)</w:t>
      </w:r>
      <w:r>
        <w:rPr>
          <w:b/>
          <w:color w:val="000000"/>
          <w:szCs w:val="20"/>
          <w:shd w:val="clear" w:color="auto" w:fill="FFFFFF"/>
          <w:lang w:val="en-US" w:eastAsia="en-US" w:bidi="ar-SA"/>
        </w:rPr>
        <w:t xml:space="preserve"> </w:t>
      </w:r>
      <w:r>
        <w:rPr>
          <w:color w:val="000000"/>
          <w:szCs w:val="20"/>
          <w:shd w:val="clear" w:color="auto" w:fill="FFFFFF"/>
          <w:lang w:val="en-US" w:eastAsia="en-US" w:bidi="ar-SA"/>
        </w:rPr>
        <w:t>wynosi 20% co oznacza, że 20% w całości źródeł finansowania aktywów stanowiło zadłużenie czyli kapitały obce. W roku 2023 wskaźnik zadłużenia aktywów wynosił 22%;</w:t>
      </w:r>
    </w:p>
    <w:p w:rsidR="00B91C8A" w:rsidRDefault="004E7132">
      <w:pPr>
        <w:numPr>
          <w:ilvl w:val="0"/>
          <w:numId w:val="25"/>
        </w:numPr>
        <w:tabs>
          <w:tab w:val="left" w:pos="360"/>
        </w:tabs>
        <w:spacing w:after="160" w:line="276" w:lineRule="auto"/>
        <w:ind w:left="993" w:hanging="284"/>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wypłacalności</w:t>
      </w:r>
      <w:r>
        <w:rPr>
          <w:color w:val="000000"/>
          <w:szCs w:val="20"/>
          <w:shd w:val="clear" w:color="auto" w:fill="FFFFFF"/>
          <w:lang w:val="en-US" w:eastAsia="en-US" w:bidi="ar-SA"/>
        </w:rPr>
        <w:t xml:space="preserve"> (stosunek zobowiązań i rezerw do kapitału własnego) wynosi 0,31, </w:t>
      </w:r>
      <w:r>
        <w:rPr>
          <w:color w:val="000000"/>
          <w:szCs w:val="20"/>
          <w:shd w:val="clear" w:color="auto" w:fill="FFFFFF"/>
          <w:lang w:val="en-US" w:eastAsia="en-US" w:bidi="ar-SA"/>
        </w:rPr>
        <w:br/>
        <w:t>co oznacza,</w:t>
      </w:r>
      <w:r>
        <w:rPr>
          <w:color w:val="000000"/>
          <w:szCs w:val="20"/>
          <w:shd w:val="clear" w:color="auto" w:fill="FFFFFF"/>
          <w:lang w:eastAsia="en-US" w:bidi="ar-SA"/>
        </w:rPr>
        <w:t xml:space="preserve"> </w:t>
      </w:r>
      <w:r>
        <w:rPr>
          <w:color w:val="000000"/>
          <w:szCs w:val="20"/>
          <w:shd w:val="clear" w:color="auto" w:fill="FFFFFF"/>
          <w:lang w:val="en-US" w:eastAsia="en-US" w:bidi="ar-SA"/>
        </w:rPr>
        <w:t xml:space="preserve">że zadłużenie, czyli kapitały obce (ogółem zobowiązania i rezerwy) przypadające na jednostkę (1) kapitału (funduszu) własnego stanowią 0,31 tzn. na jedną złotówkę funduszu własnego przypada 0 zł 31 groszy kapitałów obcych (zadłużenia). </w:t>
      </w:r>
      <w:r>
        <w:rPr>
          <w:color w:val="000000"/>
          <w:szCs w:val="20"/>
          <w:shd w:val="clear" w:color="auto" w:fill="FFFFFF"/>
          <w:lang w:val="en-US" w:eastAsia="en-US" w:bidi="ar-SA"/>
        </w:rPr>
        <w:br/>
        <w:t>W roku 2023 wskaźnik wypłacalności wynosił 0,36.</w:t>
      </w:r>
      <w:r>
        <w:rPr>
          <w:color w:val="000000"/>
          <w:szCs w:val="20"/>
          <w:shd w:val="clear" w:color="auto" w:fill="FFFFFF"/>
          <w:lang w:eastAsia="en-US" w:bidi="ar-SA"/>
        </w:rPr>
        <w:t xml:space="preserve"> </w:t>
      </w:r>
      <w:r>
        <w:rPr>
          <w:color w:val="000000"/>
          <w:szCs w:val="20"/>
          <w:shd w:val="clear" w:color="auto" w:fill="FFFFFF"/>
          <w:lang w:val="en-US" w:eastAsia="en-US" w:bidi="ar-SA"/>
        </w:rPr>
        <w:t>Wskazane wartości należy ocenić pozytywnie.</w:t>
      </w:r>
    </w:p>
    <w:bookmarkEnd w:id="2"/>
    <w:bookmarkEnd w:id="3"/>
    <w:bookmarkEnd w:id="11"/>
    <w:p w:rsidR="00B91C8A" w:rsidRDefault="004E7132">
      <w:pPr>
        <w:spacing w:before="240" w:after="200" w:line="276" w:lineRule="auto"/>
        <w:ind w:left="284"/>
        <w:jc w:val="both"/>
        <w:rPr>
          <w:color w:val="000000"/>
          <w:szCs w:val="20"/>
          <w:shd w:val="clear" w:color="auto" w:fill="FFFFFF"/>
          <w:lang w:eastAsia="en-US" w:bidi="ar-SA"/>
        </w:rPr>
      </w:pPr>
      <w:r>
        <w:rPr>
          <w:color w:val="000000"/>
          <w:szCs w:val="20"/>
          <w:shd w:val="clear" w:color="auto" w:fill="FFFFFF"/>
          <w:lang w:eastAsia="en-US" w:bidi="ar-SA"/>
        </w:rPr>
        <w:t>Na podstawie wyliczonych wskaźników za 2024 rok MCM „Widzew” w Łodzi uzyskało łącznie 65 pkt (92,86%) w 2023 roku wynik ten wyniósł też 65 pkt (92,86%).</w:t>
      </w:r>
    </w:p>
    <w:p w:rsidR="00B91C8A" w:rsidRDefault="004E7132">
      <w:pPr>
        <w:numPr>
          <w:ilvl w:val="0"/>
          <w:numId w:val="12"/>
        </w:numPr>
        <w:spacing w:before="240" w:after="200" w:line="276" w:lineRule="auto"/>
        <w:ind w:left="142" w:hanging="142"/>
        <w:contextualSpacing/>
        <w:jc w:val="both"/>
        <w:rPr>
          <w:color w:val="000000"/>
          <w:szCs w:val="20"/>
          <w:shd w:val="clear" w:color="auto" w:fill="FFFFFF"/>
          <w:lang w:val="en-US" w:eastAsia="en-US" w:bidi="ar-SA"/>
        </w:rPr>
      </w:pPr>
      <w:r>
        <w:rPr>
          <w:b/>
          <w:color w:val="000000"/>
          <w:szCs w:val="20"/>
          <w:shd w:val="clear" w:color="auto" w:fill="FFFFFF"/>
          <w:lang w:val="en-US" w:eastAsia="en-US" w:bidi="ar-SA"/>
        </w:rPr>
        <w:t>Prognoza na lata 2025-2027</w:t>
      </w:r>
      <w:r>
        <w:rPr>
          <w:color w:val="000000"/>
          <w:szCs w:val="20"/>
          <w:shd w:val="clear" w:color="auto" w:fill="FFFFFF"/>
          <w:lang w:val="en-US" w:eastAsia="en-US" w:bidi="ar-SA"/>
        </w:rPr>
        <w:t xml:space="preserve"> powstała w oparciu o plan finansowy na 2025 rok oraz o obowiązujące umowy i prognozowane wysokości przychodów oraz poniesionych kosztów, a w zakresie wydatków inwestycyjnych zgodnie z planem finansowym. Do prognozy przychodów na lata 2025-2027 przyjęto, że zakres realizowanych świadczeń ze środków publicznych będzie obejmował wszystkie dotychczasowe zakresy działalności.</w:t>
      </w:r>
    </w:p>
    <w:p w:rsidR="00B91C8A" w:rsidRDefault="00B91C8A">
      <w:pPr>
        <w:keepNext/>
        <w:spacing w:after="60"/>
        <w:jc w:val="left"/>
        <w:outlineLvl w:val="0"/>
        <w:rPr>
          <w:b/>
          <w:szCs w:val="20"/>
          <w:lang w:eastAsia="en-US" w:bidi="ar-SA"/>
        </w:rPr>
      </w:pPr>
    </w:p>
    <w:p w:rsidR="00B91C8A" w:rsidRDefault="004E7132">
      <w:pPr>
        <w:keepNext/>
        <w:spacing w:after="60"/>
        <w:jc w:val="left"/>
        <w:outlineLvl w:val="0"/>
        <w:rPr>
          <w:b/>
          <w:szCs w:val="20"/>
          <w:lang w:eastAsia="en-US" w:bidi="ar-SA"/>
        </w:rPr>
      </w:pPr>
      <w:r>
        <w:rPr>
          <w:b/>
          <w:szCs w:val="20"/>
          <w:lang w:eastAsia="en-US" w:bidi="ar-SA"/>
        </w:rPr>
        <w:t>Wskaźniki MCM „Widzew” w Łodzi – prognoza na lata 2025-2027</w:t>
      </w:r>
    </w:p>
    <w:tbl>
      <w:tblPr>
        <w:tblW w:w="9858" w:type="dxa"/>
        <w:jc w:val="center"/>
        <w:tblLayout w:type="fixed"/>
        <w:tblCellMar>
          <w:left w:w="70" w:type="dxa"/>
          <w:right w:w="70" w:type="dxa"/>
        </w:tblCellMar>
        <w:tblLook w:val="04A0" w:firstRow="1" w:lastRow="0" w:firstColumn="1" w:lastColumn="0" w:noHBand="0" w:noVBand="1"/>
      </w:tblPr>
      <w:tblGrid>
        <w:gridCol w:w="1962"/>
        <w:gridCol w:w="1550"/>
        <w:gridCol w:w="1101"/>
        <w:gridCol w:w="992"/>
        <w:gridCol w:w="1134"/>
        <w:gridCol w:w="1025"/>
        <w:gridCol w:w="1102"/>
        <w:gridCol w:w="992"/>
      </w:tblGrid>
      <w:tr w:rsidR="00B91C8A">
        <w:trPr>
          <w:trHeight w:val="182"/>
          <w:jc w:val="center"/>
        </w:trPr>
        <w:tc>
          <w:tcPr>
            <w:tcW w:w="1962" w:type="dxa"/>
            <w:vMerge w:val="restart"/>
            <w:tcBorders>
              <w:top w:val="single" w:sz="8" w:space="0" w:color="000000"/>
              <w:left w:val="single" w:sz="8" w:space="0" w:color="000000"/>
              <w:bottom w:val="single" w:sz="8" w:space="0" w:color="000000"/>
              <w:right w:val="single" w:sz="8" w:space="0" w:color="000000"/>
            </w:tcBorders>
            <w:shd w:val="clear" w:color="auto" w:fill="FFFF99"/>
            <w:noWrap/>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Grupa</w:t>
            </w:r>
          </w:p>
        </w:tc>
        <w:tc>
          <w:tcPr>
            <w:tcW w:w="1550" w:type="dxa"/>
            <w:vMerge w:val="restart"/>
            <w:tcBorders>
              <w:top w:val="single" w:sz="8" w:space="0" w:color="000000"/>
              <w:left w:val="single" w:sz="8" w:space="0" w:color="000000"/>
              <w:bottom w:val="single" w:sz="8" w:space="0" w:color="000000"/>
              <w:right w:val="nil"/>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Wskaźniki</w:t>
            </w:r>
          </w:p>
        </w:tc>
        <w:tc>
          <w:tcPr>
            <w:tcW w:w="2093"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2159" w:type="dxa"/>
            <w:gridSpan w:val="2"/>
            <w:tcBorders>
              <w:top w:val="single" w:sz="8" w:space="0" w:color="000000"/>
              <w:left w:val="nil"/>
              <w:bottom w:val="single" w:sz="4" w:space="0" w:color="000000"/>
              <w:right w:val="nil"/>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2094" w:type="dxa"/>
            <w:gridSpan w:val="2"/>
            <w:tcBorders>
              <w:top w:val="single" w:sz="8" w:space="0" w:color="000000"/>
              <w:left w:val="single" w:sz="8" w:space="0" w:color="000000"/>
              <w:bottom w:val="single" w:sz="4"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B91C8A">
        <w:trPr>
          <w:trHeight w:val="186"/>
          <w:jc w:val="center"/>
        </w:trPr>
        <w:tc>
          <w:tcPr>
            <w:tcW w:w="1962" w:type="dxa"/>
            <w:vMerge/>
            <w:tcBorders>
              <w:top w:val="single" w:sz="8" w:space="0" w:color="000000"/>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vMerge/>
            <w:tcBorders>
              <w:top w:val="single" w:sz="8" w:space="0" w:color="000000"/>
              <w:left w:val="single" w:sz="8" w:space="0" w:color="000000"/>
              <w:bottom w:val="single" w:sz="8" w:space="0" w:color="000000"/>
              <w:right w:val="nil"/>
            </w:tcBorders>
            <w:vAlign w:val="center"/>
          </w:tcPr>
          <w:p w:rsidR="00B91C8A" w:rsidRDefault="00B91C8A">
            <w:pPr>
              <w:jc w:val="left"/>
              <w:rPr>
                <w:b/>
                <w:color w:val="000000"/>
                <w:sz w:val="22"/>
                <w:szCs w:val="20"/>
                <w:shd w:val="clear" w:color="auto" w:fill="FFFFFF"/>
                <w:lang w:eastAsia="en-US" w:bidi="ar-SA"/>
              </w:rPr>
            </w:pPr>
          </w:p>
        </w:tc>
        <w:tc>
          <w:tcPr>
            <w:tcW w:w="1101" w:type="dxa"/>
            <w:tcBorders>
              <w:top w:val="nil"/>
              <w:left w:val="single" w:sz="8" w:space="0" w:color="000000"/>
              <w:bottom w:val="single" w:sz="8" w:space="0" w:color="000000"/>
              <w:right w:val="single" w:sz="4"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34" w:type="dxa"/>
            <w:tcBorders>
              <w:top w:val="nil"/>
              <w:left w:val="nil"/>
              <w:bottom w:val="single" w:sz="8" w:space="0" w:color="000000"/>
              <w:right w:val="single" w:sz="4"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1025" w:type="dxa"/>
            <w:tcBorders>
              <w:top w:val="nil"/>
              <w:left w:val="nil"/>
              <w:bottom w:val="single" w:sz="8" w:space="0" w:color="000000"/>
              <w:right w:val="nil"/>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c>
          <w:tcPr>
            <w:tcW w:w="1102" w:type="dxa"/>
            <w:tcBorders>
              <w:top w:val="nil"/>
              <w:left w:val="single" w:sz="8" w:space="0" w:color="000000"/>
              <w:bottom w:val="single" w:sz="8" w:space="0" w:color="000000"/>
              <w:right w:val="single" w:sz="4"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w:t>
            </w:r>
          </w:p>
        </w:tc>
        <w:tc>
          <w:tcPr>
            <w:tcW w:w="992" w:type="dxa"/>
            <w:tcBorders>
              <w:top w:val="nil"/>
              <w:left w:val="nil"/>
              <w:bottom w:val="single" w:sz="8"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Ilość punktów</w:t>
            </w:r>
          </w:p>
        </w:tc>
      </w:tr>
      <w:tr w:rsidR="00B91C8A">
        <w:trPr>
          <w:trHeight w:val="687"/>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WSKAŹNIKI ZYSKOWNOŚCI</w:t>
            </w: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netto  (%)                                                           </w:t>
            </w:r>
          </w:p>
        </w:tc>
        <w:tc>
          <w:tcPr>
            <w:tcW w:w="1101" w:type="dxa"/>
            <w:tcBorders>
              <w:top w:val="nil"/>
              <w:left w:val="nil"/>
              <w:bottom w:val="single" w:sz="4" w:space="0" w:color="000000"/>
              <w:right w:val="single" w:sz="4" w:space="0" w:color="000000"/>
            </w:tcBorders>
            <w:noWrap/>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1,47%</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noWrap/>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0,76%</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noWrap/>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0,56%</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B91C8A">
        <w:trPr>
          <w:trHeight w:val="1122"/>
          <w:jc w:val="center"/>
        </w:trPr>
        <w:tc>
          <w:tcPr>
            <w:tcW w:w="1962" w:type="dxa"/>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zyskowności działalności operacyjnej (%)            </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0,45%</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0,25%</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0,02%</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B91C8A">
        <w:trPr>
          <w:trHeight w:val="695"/>
          <w:jc w:val="center"/>
        </w:trPr>
        <w:tc>
          <w:tcPr>
            <w:tcW w:w="1962" w:type="dxa"/>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tcBorders>
              <w:top w:val="nil"/>
              <w:left w:val="nil"/>
              <w:bottom w:val="nil"/>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zyskowność aktywów (%)</w:t>
            </w:r>
          </w:p>
        </w:tc>
        <w:tc>
          <w:tcPr>
            <w:tcW w:w="1101" w:type="dxa"/>
            <w:tcBorders>
              <w:top w:val="nil"/>
              <w:left w:val="nil"/>
              <w:bottom w:val="nil"/>
              <w:right w:val="single" w:sz="4"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1,60%</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nil"/>
              <w:right w:val="single" w:sz="4"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0,81%</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8" w:space="0" w:color="000000"/>
              <w:right w:val="single" w:sz="4"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0,60%</w:t>
            </w:r>
          </w:p>
        </w:tc>
        <w:tc>
          <w:tcPr>
            <w:tcW w:w="992" w:type="dxa"/>
            <w:tcBorders>
              <w:top w:val="nil"/>
              <w:left w:val="nil"/>
              <w:bottom w:val="single" w:sz="8"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B91C8A">
        <w:trPr>
          <w:trHeight w:val="681"/>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15 pkt</w:t>
            </w:r>
          </w:p>
        </w:tc>
        <w:tc>
          <w:tcPr>
            <w:tcW w:w="1101" w:type="dxa"/>
            <w:tcBorders>
              <w:top w:val="single" w:sz="8" w:space="0" w:color="000000"/>
              <w:left w:val="nil"/>
              <w:bottom w:val="single" w:sz="8" w:space="0" w:color="000000"/>
              <w:right w:val="nil"/>
            </w:tcBorders>
            <w:shd w:val="clear" w:color="auto" w:fill="CCFFCC"/>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9</w:t>
            </w:r>
          </w:p>
        </w:tc>
        <w:tc>
          <w:tcPr>
            <w:tcW w:w="1134" w:type="dxa"/>
            <w:tcBorders>
              <w:top w:val="single" w:sz="8" w:space="0" w:color="000000"/>
              <w:left w:val="nil"/>
              <w:bottom w:val="single" w:sz="8" w:space="0" w:color="000000"/>
              <w:right w:val="nil"/>
            </w:tcBorders>
            <w:shd w:val="clear" w:color="auto" w:fill="CCFFCC"/>
            <w:vAlign w:val="center"/>
          </w:tcPr>
          <w:p w:rsidR="00B91C8A" w:rsidRDefault="00B91C8A">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9</w:t>
            </w:r>
          </w:p>
        </w:tc>
        <w:tc>
          <w:tcPr>
            <w:tcW w:w="1102" w:type="dxa"/>
            <w:tcBorders>
              <w:top w:val="nil"/>
              <w:left w:val="nil"/>
              <w:bottom w:val="single" w:sz="8" w:space="0" w:color="000000"/>
              <w:right w:val="nil"/>
            </w:tcBorders>
            <w:shd w:val="clear" w:color="auto" w:fill="CCFFCC"/>
            <w:vAlign w:val="center"/>
          </w:tcPr>
          <w:p w:rsidR="00B91C8A" w:rsidRDefault="00B91C8A">
            <w:pPr>
              <w:jc w:val="left"/>
              <w:rPr>
                <w:b/>
                <w:color w:val="000000"/>
                <w:sz w:val="22"/>
                <w:szCs w:val="20"/>
                <w:shd w:val="clear" w:color="auto" w:fill="FFFFFF"/>
                <w:lang w:eastAsia="en-US" w:bidi="ar-SA"/>
              </w:rPr>
            </w:pPr>
          </w:p>
        </w:tc>
        <w:tc>
          <w:tcPr>
            <w:tcW w:w="992" w:type="dxa"/>
            <w:tcBorders>
              <w:top w:val="nil"/>
              <w:left w:val="nil"/>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9</w:t>
            </w:r>
          </w:p>
        </w:tc>
      </w:tr>
      <w:tr w:rsidR="00B91C8A">
        <w:trPr>
          <w:trHeight w:val="781"/>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WSKAŹNIKI PŁYNNOŚCI</w:t>
            </w: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bieżącej płynności                                           </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4,28</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3,05</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3,05</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B91C8A">
        <w:trPr>
          <w:trHeight w:val="817"/>
          <w:jc w:val="center"/>
        </w:trPr>
        <w:tc>
          <w:tcPr>
            <w:tcW w:w="1962" w:type="dxa"/>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szybkiej płynności</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4,26</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3,03</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3,03</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B91C8A">
        <w:trPr>
          <w:trHeight w:val="743"/>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25 pkt</w:t>
            </w:r>
          </w:p>
        </w:tc>
        <w:tc>
          <w:tcPr>
            <w:tcW w:w="1101" w:type="dxa"/>
            <w:tcBorders>
              <w:top w:val="single" w:sz="8" w:space="0" w:color="000000"/>
              <w:left w:val="nil"/>
              <w:bottom w:val="single" w:sz="8" w:space="0" w:color="000000"/>
              <w:right w:val="nil"/>
            </w:tcBorders>
            <w:shd w:val="clear" w:color="auto" w:fill="CCFFFF"/>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c>
          <w:tcPr>
            <w:tcW w:w="1134" w:type="dxa"/>
            <w:tcBorders>
              <w:top w:val="single" w:sz="8" w:space="0" w:color="000000"/>
              <w:left w:val="nil"/>
              <w:bottom w:val="single" w:sz="8" w:space="0" w:color="000000"/>
              <w:right w:val="nil"/>
            </w:tcBorders>
            <w:shd w:val="clear" w:color="auto" w:fill="CCFFFF"/>
            <w:vAlign w:val="center"/>
          </w:tcPr>
          <w:p w:rsidR="00B91C8A" w:rsidRDefault="00B91C8A">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B91C8A" w:rsidRDefault="00B91C8A">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r>
      <w:tr w:rsidR="00B91C8A">
        <w:trPr>
          <w:trHeight w:val="1044"/>
          <w:jc w:val="center"/>
        </w:trPr>
        <w:tc>
          <w:tcPr>
            <w:tcW w:w="1962" w:type="dxa"/>
            <w:vMerge w:val="restart"/>
            <w:tcBorders>
              <w:top w:val="nil"/>
              <w:left w:val="single" w:sz="8" w:space="0" w:color="000000"/>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WSKAŹNIKI EFEKTYWNOŚCI</w:t>
            </w: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należności </w:t>
            </w:r>
            <w:r>
              <w:rPr>
                <w:color w:val="000000"/>
                <w:sz w:val="22"/>
                <w:szCs w:val="20"/>
                <w:shd w:val="clear" w:color="auto" w:fill="FFFFFF"/>
                <w:lang w:eastAsia="en-US" w:bidi="ar-SA"/>
              </w:rPr>
              <w:br/>
              <w:t xml:space="preserve">(w dniach)                           </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32</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32</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32</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3</w:t>
            </w:r>
          </w:p>
        </w:tc>
      </w:tr>
      <w:tr w:rsidR="00B91C8A">
        <w:trPr>
          <w:trHeight w:val="971"/>
          <w:jc w:val="center"/>
        </w:trPr>
        <w:tc>
          <w:tcPr>
            <w:tcW w:w="1962" w:type="dxa"/>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rotacji zobowiązań </w:t>
            </w:r>
            <w:r>
              <w:rPr>
                <w:color w:val="000000"/>
                <w:sz w:val="22"/>
                <w:szCs w:val="20"/>
                <w:shd w:val="clear" w:color="auto" w:fill="FFFFFF"/>
                <w:lang w:eastAsia="en-US" w:bidi="ar-SA"/>
              </w:rPr>
              <w:br/>
              <w:t>(w dniach)</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13</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14</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7</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14</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7</w:t>
            </w:r>
          </w:p>
        </w:tc>
      </w:tr>
      <w:tr w:rsidR="00B91C8A">
        <w:trPr>
          <w:trHeight w:val="76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10 pkt</w:t>
            </w:r>
          </w:p>
        </w:tc>
        <w:tc>
          <w:tcPr>
            <w:tcW w:w="1101" w:type="dxa"/>
            <w:tcBorders>
              <w:top w:val="single" w:sz="8" w:space="0" w:color="000000"/>
              <w:left w:val="nil"/>
              <w:bottom w:val="single" w:sz="8" w:space="0" w:color="000000"/>
              <w:right w:val="nil"/>
            </w:tcBorders>
            <w:shd w:val="clear" w:color="auto" w:fill="CCFFCC"/>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34" w:type="dxa"/>
            <w:tcBorders>
              <w:top w:val="single" w:sz="8" w:space="0" w:color="000000"/>
              <w:left w:val="nil"/>
              <w:bottom w:val="single" w:sz="8" w:space="0" w:color="000000"/>
              <w:right w:val="nil"/>
            </w:tcBorders>
            <w:shd w:val="clear" w:color="auto" w:fill="CCFFCC"/>
            <w:vAlign w:val="center"/>
          </w:tcPr>
          <w:p w:rsidR="00B91C8A" w:rsidRDefault="00B91C8A">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10</w:t>
            </w:r>
          </w:p>
        </w:tc>
        <w:tc>
          <w:tcPr>
            <w:tcW w:w="1102" w:type="dxa"/>
            <w:tcBorders>
              <w:top w:val="single" w:sz="8" w:space="0" w:color="000000"/>
              <w:left w:val="single" w:sz="8" w:space="0" w:color="000000"/>
              <w:bottom w:val="single" w:sz="8" w:space="0" w:color="000000"/>
              <w:right w:val="nil"/>
            </w:tcBorders>
            <w:shd w:val="clear" w:color="auto" w:fill="CCFFCC"/>
            <w:vAlign w:val="center"/>
          </w:tcPr>
          <w:p w:rsidR="00B91C8A" w:rsidRDefault="00B91C8A">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CC"/>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10</w:t>
            </w:r>
          </w:p>
        </w:tc>
      </w:tr>
      <w:tr w:rsidR="00B91C8A">
        <w:trPr>
          <w:trHeight w:val="663"/>
          <w:jc w:val="center"/>
        </w:trPr>
        <w:tc>
          <w:tcPr>
            <w:tcW w:w="1962" w:type="dxa"/>
            <w:vMerge w:val="restart"/>
            <w:tcBorders>
              <w:top w:val="nil"/>
              <w:left w:val="single" w:sz="8" w:space="0" w:color="000000"/>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WSKAŹNIKI ZADŁUŻENIA</w:t>
            </w: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 xml:space="preserve">zadłużenia aktywów (%)                          </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21%</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23%</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23%</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B91C8A">
        <w:trPr>
          <w:trHeight w:val="557"/>
          <w:jc w:val="center"/>
        </w:trPr>
        <w:tc>
          <w:tcPr>
            <w:tcW w:w="1962" w:type="dxa"/>
            <w:vMerge/>
            <w:tcBorders>
              <w:top w:val="nil"/>
              <w:left w:val="single" w:sz="8" w:space="0" w:color="000000"/>
              <w:bottom w:val="single" w:sz="8" w:space="0" w:color="000000"/>
              <w:right w:val="single" w:sz="8" w:space="0" w:color="000000"/>
            </w:tcBorders>
            <w:vAlign w:val="center"/>
          </w:tcPr>
          <w:p w:rsidR="00B91C8A" w:rsidRDefault="00B91C8A">
            <w:pPr>
              <w:jc w:val="left"/>
              <w:rPr>
                <w:b/>
                <w:color w:val="000000"/>
                <w:sz w:val="22"/>
                <w:szCs w:val="20"/>
                <w:shd w:val="clear" w:color="auto" w:fill="FFFFFF"/>
                <w:lang w:eastAsia="en-US" w:bidi="ar-SA"/>
              </w:rPr>
            </w:pPr>
          </w:p>
        </w:tc>
        <w:tc>
          <w:tcPr>
            <w:tcW w:w="1550" w:type="dxa"/>
            <w:tcBorders>
              <w:top w:val="nil"/>
              <w:left w:val="nil"/>
              <w:bottom w:val="single" w:sz="4" w:space="0" w:color="000000"/>
              <w:right w:val="single" w:sz="8" w:space="0" w:color="000000"/>
            </w:tcBorders>
            <w:vAlign w:val="center"/>
          </w:tcPr>
          <w:p w:rsidR="00B91C8A" w:rsidRDefault="004E7132">
            <w:pPr>
              <w:jc w:val="left"/>
              <w:rPr>
                <w:color w:val="000000"/>
                <w:sz w:val="22"/>
                <w:szCs w:val="20"/>
                <w:shd w:val="clear" w:color="auto" w:fill="FFFFFF"/>
                <w:lang w:eastAsia="en-US" w:bidi="ar-SA"/>
              </w:rPr>
            </w:pPr>
            <w:r>
              <w:rPr>
                <w:color w:val="000000"/>
                <w:sz w:val="22"/>
                <w:szCs w:val="20"/>
                <w:shd w:val="clear" w:color="auto" w:fill="FFFFFF"/>
                <w:lang w:eastAsia="en-US" w:bidi="ar-SA"/>
              </w:rPr>
              <w:t>wypłacalności</w:t>
            </w:r>
          </w:p>
        </w:tc>
        <w:tc>
          <w:tcPr>
            <w:tcW w:w="1101"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0,31</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34" w:type="dxa"/>
            <w:tcBorders>
              <w:top w:val="nil"/>
              <w:left w:val="nil"/>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0,34</w:t>
            </w:r>
          </w:p>
        </w:tc>
        <w:tc>
          <w:tcPr>
            <w:tcW w:w="1025" w:type="dxa"/>
            <w:tcBorders>
              <w:top w:val="nil"/>
              <w:left w:val="nil"/>
              <w:bottom w:val="single" w:sz="4" w:space="0" w:color="000000"/>
              <w:right w:val="nil"/>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c>
          <w:tcPr>
            <w:tcW w:w="1102" w:type="dxa"/>
            <w:tcBorders>
              <w:top w:val="nil"/>
              <w:left w:val="single" w:sz="8" w:space="0" w:color="000000"/>
              <w:bottom w:val="single" w:sz="4" w:space="0" w:color="000000"/>
              <w:right w:val="single" w:sz="4" w:space="0" w:color="000000"/>
            </w:tcBorders>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0,35</w:t>
            </w:r>
          </w:p>
        </w:tc>
        <w:tc>
          <w:tcPr>
            <w:tcW w:w="992" w:type="dxa"/>
            <w:tcBorders>
              <w:top w:val="nil"/>
              <w:left w:val="nil"/>
              <w:bottom w:val="single" w:sz="4" w:space="0" w:color="000000"/>
              <w:right w:val="single" w:sz="8" w:space="0" w:color="000000"/>
            </w:tcBorders>
            <w:shd w:val="clear" w:color="auto" w:fill="FFFFFF"/>
            <w:vAlign w:val="center"/>
          </w:tcPr>
          <w:p w:rsidR="00B91C8A" w:rsidRDefault="004E7132">
            <w:pPr>
              <w:rPr>
                <w:color w:val="000000"/>
                <w:sz w:val="22"/>
                <w:szCs w:val="20"/>
                <w:shd w:val="clear" w:color="auto" w:fill="FFFFFF"/>
                <w:lang w:eastAsia="en-US" w:bidi="ar-SA"/>
              </w:rPr>
            </w:pPr>
            <w:r>
              <w:rPr>
                <w:color w:val="000000"/>
                <w:sz w:val="22"/>
                <w:szCs w:val="20"/>
                <w:shd w:val="clear" w:color="auto" w:fill="FFFFFF"/>
                <w:lang w:eastAsia="en-US" w:bidi="ar-SA"/>
              </w:rPr>
              <w:t>10</w:t>
            </w:r>
          </w:p>
        </w:tc>
      </w:tr>
      <w:tr w:rsidR="00B91C8A">
        <w:trPr>
          <w:trHeight w:val="699"/>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Maksymalna ocena punktowa 20 pkt</w:t>
            </w:r>
          </w:p>
        </w:tc>
        <w:tc>
          <w:tcPr>
            <w:tcW w:w="1101" w:type="dxa"/>
            <w:tcBorders>
              <w:top w:val="single" w:sz="8" w:space="0" w:color="000000"/>
              <w:left w:val="nil"/>
              <w:bottom w:val="single" w:sz="8" w:space="0" w:color="000000"/>
              <w:right w:val="nil"/>
            </w:tcBorders>
            <w:shd w:val="clear" w:color="auto" w:fill="CCFFFF"/>
            <w:vAlign w:val="center"/>
          </w:tcPr>
          <w:p w:rsidR="00B91C8A" w:rsidRDefault="004E7132">
            <w:pPr>
              <w:jc w:val="left"/>
              <w:rPr>
                <w:b/>
                <w:color w:val="000000"/>
                <w:sz w:val="22"/>
                <w:szCs w:val="20"/>
                <w:shd w:val="clear" w:color="auto" w:fill="FFFFFF"/>
                <w:lang w:eastAsia="en-US" w:bidi="ar-SA"/>
              </w:rPr>
            </w:pPr>
            <w:r>
              <w:rPr>
                <w:b/>
                <w:color w:val="000000"/>
                <w:sz w:val="22"/>
                <w:szCs w:val="20"/>
                <w:shd w:val="clear" w:color="auto" w:fill="FFFFFF"/>
                <w:lang w:eastAsia="en-US" w:bidi="ar-SA"/>
              </w:rPr>
              <w:t>Razem</w:t>
            </w: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c>
          <w:tcPr>
            <w:tcW w:w="1134" w:type="dxa"/>
            <w:tcBorders>
              <w:top w:val="single" w:sz="8" w:space="0" w:color="000000"/>
              <w:left w:val="nil"/>
              <w:bottom w:val="single" w:sz="8" w:space="0" w:color="000000"/>
              <w:right w:val="nil"/>
            </w:tcBorders>
            <w:shd w:val="clear" w:color="auto" w:fill="CCFFFF"/>
            <w:vAlign w:val="center"/>
          </w:tcPr>
          <w:p w:rsidR="00B91C8A" w:rsidRDefault="00B91C8A">
            <w:pPr>
              <w:jc w:val="left"/>
              <w:rPr>
                <w:b/>
                <w:color w:val="000000"/>
                <w:sz w:val="22"/>
                <w:szCs w:val="20"/>
                <w:shd w:val="clear" w:color="auto" w:fill="FFFFFF"/>
                <w:lang w:eastAsia="en-US" w:bidi="ar-SA"/>
              </w:rPr>
            </w:pPr>
          </w:p>
        </w:tc>
        <w:tc>
          <w:tcPr>
            <w:tcW w:w="1025" w:type="dxa"/>
            <w:tcBorders>
              <w:top w:val="single" w:sz="8" w:space="0" w:color="000000"/>
              <w:left w:val="nil"/>
              <w:bottom w:val="single" w:sz="8" w:space="0" w:color="000000"/>
              <w:right w:val="nil"/>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c>
          <w:tcPr>
            <w:tcW w:w="1102" w:type="dxa"/>
            <w:tcBorders>
              <w:top w:val="single" w:sz="8" w:space="0" w:color="000000"/>
              <w:left w:val="single" w:sz="8" w:space="0" w:color="000000"/>
              <w:bottom w:val="single" w:sz="8" w:space="0" w:color="000000"/>
              <w:right w:val="nil"/>
            </w:tcBorders>
            <w:shd w:val="clear" w:color="auto" w:fill="CCFFFF"/>
            <w:vAlign w:val="center"/>
          </w:tcPr>
          <w:p w:rsidR="00B91C8A" w:rsidRDefault="00B91C8A">
            <w:pPr>
              <w:jc w:val="left"/>
              <w:rPr>
                <w:b/>
                <w:color w:val="000000"/>
                <w:sz w:val="22"/>
                <w:szCs w:val="20"/>
                <w:shd w:val="clear" w:color="auto" w:fill="FFFFFF"/>
                <w:lang w:eastAsia="en-US" w:bidi="ar-SA"/>
              </w:rPr>
            </w:pPr>
          </w:p>
        </w:tc>
        <w:tc>
          <w:tcPr>
            <w:tcW w:w="992" w:type="dxa"/>
            <w:tcBorders>
              <w:top w:val="single" w:sz="8" w:space="0" w:color="000000"/>
              <w:left w:val="nil"/>
              <w:bottom w:val="single" w:sz="8" w:space="0" w:color="000000"/>
              <w:right w:val="single" w:sz="8" w:space="0" w:color="000000"/>
            </w:tcBorders>
            <w:shd w:val="clear" w:color="auto" w:fill="CCFFFF"/>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20</w:t>
            </w:r>
          </w:p>
        </w:tc>
      </w:tr>
      <w:tr w:rsidR="00B91C8A">
        <w:trPr>
          <w:trHeight w:val="710"/>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99"/>
            <w:noWrap/>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Łączna wartość punktów osiągniętych</w:t>
            </w:r>
          </w:p>
        </w:tc>
        <w:tc>
          <w:tcPr>
            <w:tcW w:w="2093" w:type="dxa"/>
            <w:gridSpan w:val="2"/>
            <w:tcBorders>
              <w:top w:val="single" w:sz="8" w:space="0" w:color="000000"/>
              <w:left w:val="nil"/>
              <w:bottom w:val="single" w:sz="8"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59 (84,29%)</w:t>
            </w:r>
          </w:p>
        </w:tc>
        <w:tc>
          <w:tcPr>
            <w:tcW w:w="2159" w:type="dxa"/>
            <w:gridSpan w:val="2"/>
            <w:tcBorders>
              <w:top w:val="single" w:sz="8" w:space="0" w:color="000000"/>
              <w:left w:val="nil"/>
              <w:bottom w:val="single" w:sz="8"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59 (84,29%)</w:t>
            </w:r>
          </w:p>
        </w:tc>
        <w:tc>
          <w:tcPr>
            <w:tcW w:w="2094" w:type="dxa"/>
            <w:gridSpan w:val="2"/>
            <w:tcBorders>
              <w:top w:val="single" w:sz="8" w:space="0" w:color="000000"/>
              <w:left w:val="nil"/>
              <w:bottom w:val="single" w:sz="8" w:space="0" w:color="000000"/>
              <w:right w:val="single" w:sz="8" w:space="0" w:color="000000"/>
            </w:tcBorders>
            <w:shd w:val="clear" w:color="auto" w:fill="FFFF99"/>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59 (84,29%)</w:t>
            </w:r>
          </w:p>
        </w:tc>
      </w:tr>
      <w:tr w:rsidR="00B91C8A">
        <w:trPr>
          <w:trHeight w:val="976"/>
          <w:jc w:val="center"/>
        </w:trPr>
        <w:tc>
          <w:tcPr>
            <w:tcW w:w="3512" w:type="dxa"/>
            <w:gridSpan w:val="2"/>
            <w:tcBorders>
              <w:top w:val="single" w:sz="8" w:space="0" w:color="000000"/>
              <w:left w:val="single" w:sz="8" w:space="0" w:color="000000"/>
              <w:bottom w:val="single" w:sz="8" w:space="0" w:color="000000"/>
              <w:right w:val="single" w:sz="8" w:space="0" w:color="000000"/>
            </w:tcBorders>
            <w:shd w:val="clear" w:color="auto" w:fill="FFFF00"/>
            <w:noWrap/>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Maksymalna wartość punktów możliwych do osiągnięcia</w:t>
            </w:r>
          </w:p>
        </w:tc>
        <w:tc>
          <w:tcPr>
            <w:tcW w:w="2093" w:type="dxa"/>
            <w:gridSpan w:val="2"/>
            <w:tcBorders>
              <w:top w:val="single" w:sz="8" w:space="0" w:color="000000"/>
              <w:left w:val="nil"/>
              <w:bottom w:val="single" w:sz="8" w:space="0" w:color="000000"/>
              <w:right w:val="single" w:sz="8" w:space="0" w:color="000000"/>
            </w:tcBorders>
            <w:shd w:val="clear" w:color="auto" w:fill="FFFF00"/>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159" w:type="dxa"/>
            <w:gridSpan w:val="2"/>
            <w:tcBorders>
              <w:top w:val="single" w:sz="8" w:space="0" w:color="000000"/>
              <w:left w:val="nil"/>
              <w:bottom w:val="single" w:sz="8" w:space="0" w:color="000000"/>
              <w:right w:val="single" w:sz="8" w:space="0" w:color="000000"/>
            </w:tcBorders>
            <w:shd w:val="clear" w:color="auto" w:fill="FFFF00"/>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c>
          <w:tcPr>
            <w:tcW w:w="2094" w:type="dxa"/>
            <w:gridSpan w:val="2"/>
            <w:tcBorders>
              <w:top w:val="single" w:sz="8" w:space="0" w:color="000000"/>
              <w:left w:val="nil"/>
              <w:bottom w:val="single" w:sz="8" w:space="0" w:color="000000"/>
              <w:right w:val="single" w:sz="8" w:space="0" w:color="000000"/>
            </w:tcBorders>
            <w:shd w:val="clear" w:color="auto" w:fill="FFFF00"/>
            <w:vAlign w:val="center"/>
          </w:tcPr>
          <w:p w:rsidR="00B91C8A" w:rsidRDefault="004E7132">
            <w:pPr>
              <w:rPr>
                <w:b/>
                <w:color w:val="000000"/>
                <w:sz w:val="22"/>
                <w:szCs w:val="20"/>
                <w:shd w:val="clear" w:color="auto" w:fill="FFFFFF"/>
                <w:lang w:eastAsia="en-US" w:bidi="ar-SA"/>
              </w:rPr>
            </w:pPr>
            <w:r>
              <w:rPr>
                <w:b/>
                <w:color w:val="000000"/>
                <w:sz w:val="22"/>
                <w:szCs w:val="20"/>
                <w:shd w:val="clear" w:color="auto" w:fill="FFFFFF"/>
                <w:lang w:eastAsia="en-US" w:bidi="ar-SA"/>
              </w:rPr>
              <w:t>70 (100%)</w:t>
            </w:r>
          </w:p>
        </w:tc>
      </w:tr>
    </w:tbl>
    <w:p w:rsidR="00B91C8A" w:rsidRDefault="004E7132">
      <w:pPr>
        <w:spacing w:before="240" w:line="276" w:lineRule="auto"/>
        <w:jc w:val="both"/>
        <w:rPr>
          <w:b/>
          <w:color w:val="000000"/>
          <w:szCs w:val="20"/>
          <w:shd w:val="clear" w:color="auto" w:fill="FFFFFF"/>
          <w:lang w:eastAsia="en-US" w:bidi="ar-SA"/>
        </w:rPr>
      </w:pPr>
      <w:r>
        <w:rPr>
          <w:b/>
          <w:color w:val="000000"/>
          <w:szCs w:val="20"/>
          <w:shd w:val="clear" w:color="auto" w:fill="FFFFFF"/>
          <w:lang w:eastAsia="en-US" w:bidi="ar-SA"/>
        </w:rPr>
        <w:lastRenderedPageBreak/>
        <w:t>Prognozowane przez MCM „Widzew” w Łodzi wskaźniki na lata 2025-2027:</w:t>
      </w:r>
    </w:p>
    <w:p w:rsidR="00B91C8A" w:rsidRDefault="004E7132">
      <w:pPr>
        <w:numPr>
          <w:ilvl w:val="0"/>
          <w:numId w:val="26"/>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zyskowności</w:t>
      </w:r>
      <w:r>
        <w:rPr>
          <w:color w:val="000000"/>
          <w:szCs w:val="20"/>
          <w:shd w:val="clear" w:color="auto" w:fill="FFFFFF"/>
          <w:lang w:eastAsia="en-US" w:bidi="ar-SA"/>
        </w:rPr>
        <w:t xml:space="preserve"> – jednostka prognozuje pogorszenie wskaźników w latach 2025-2027 w stosunku do roku 2024 i 2023. Wskaźniki zyskowności netto osiągają wartości odpowiednio 1,47/0,76/0,56 %, co przekłada się na ocenę punktową 3, w latach poprzednich ocena wynosiła 5. Ma to swoje odzwierciedlenie w wysokości prognozowanych wyników finansowych netto, których prognozowane wartości osiągają niższe wartości dodatnie niż w latach poprzednich, z uwagi na ostrożne szacunki dotyczące prognozowanych przychodów. Prognozy na lata 2025-2027 zakładają równoważenie kosztów osiąganymi przychodami. </w:t>
      </w:r>
    </w:p>
    <w:p w:rsidR="00B91C8A" w:rsidRDefault="004E7132">
      <w:pPr>
        <w:numPr>
          <w:ilvl w:val="0"/>
          <w:numId w:val="26"/>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w:t>
      </w:r>
      <w:r>
        <w:rPr>
          <w:color w:val="000000"/>
          <w:szCs w:val="20"/>
          <w:shd w:val="clear" w:color="auto" w:fill="FFFFFF"/>
          <w:lang w:eastAsia="en-US" w:bidi="ar-SA"/>
        </w:rPr>
        <w:t xml:space="preserve"> </w:t>
      </w:r>
      <w:r>
        <w:rPr>
          <w:b/>
          <w:color w:val="000000"/>
          <w:szCs w:val="20"/>
          <w:shd w:val="clear" w:color="auto" w:fill="FFFFFF"/>
          <w:lang w:eastAsia="en-US" w:bidi="ar-SA"/>
        </w:rPr>
        <w:t>płynności</w:t>
      </w:r>
      <w:r>
        <w:rPr>
          <w:color w:val="000000"/>
          <w:szCs w:val="20"/>
          <w:shd w:val="clear" w:color="auto" w:fill="FFFFFF"/>
          <w:lang w:eastAsia="en-US" w:bidi="ar-SA"/>
        </w:rPr>
        <w:t xml:space="preserve"> – zgodnie z założeniami jednostka prognozuje nieznaczne pogorszenie w stosunku do roku 2023 i 2024 poziomu wskaźników płynności. W okresie prognozy wskaźniki płynności bieżącej i płynności szybkiej mają przybliżoną wartość; wskaźniki płynności bieżącej uzyskują wartość 4,28/3,05/3,05, a wskaźnik płynności szybkiej wartość 4,26/3,03/3,03. Prognozowany niewielki spadek (od roku 2026) wartości wskaźnika płynności (nadpłynność) następuje przy spadku (w stosunku do roku 2024) aktywów obrotowych – głównie środków finansowych (bez krótkoterminowych rozliczeń międzyokresowych kosztów) z uwagi na prowadzone inwestycje i dokonywane zakupy, przy wzroście zobowiązań krótkoterminowych i utrzymaniu zbliżonej wartości rezerw krótkoterminowych. Wartość wskaźników wskazuje, iż jednostka nadal posiada wystarczające aktywa obrotowe (cztery/trzy razy większe) do regulowania swoich krótkoterminowych zobowiązań i rezerw na zobowiązania. W każdym z lat prognozy łączna suma punktów wynosi 20.</w:t>
      </w:r>
    </w:p>
    <w:p w:rsidR="00B91C8A" w:rsidRDefault="004E7132">
      <w:pPr>
        <w:numPr>
          <w:ilvl w:val="0"/>
          <w:numId w:val="26"/>
        </w:numPr>
        <w:tabs>
          <w:tab w:val="left" w:pos="360"/>
        </w:tabs>
        <w:spacing w:line="276" w:lineRule="auto"/>
        <w:ind w:left="360"/>
        <w:jc w:val="both"/>
        <w:rPr>
          <w:color w:val="000000"/>
          <w:szCs w:val="20"/>
          <w:shd w:val="clear" w:color="auto" w:fill="FFFFFF"/>
          <w:lang w:eastAsia="en-US" w:bidi="ar-SA"/>
        </w:rPr>
      </w:pPr>
      <w:r>
        <w:rPr>
          <w:b/>
          <w:color w:val="000000"/>
          <w:szCs w:val="20"/>
          <w:shd w:val="clear" w:color="auto" w:fill="FFFFFF"/>
          <w:lang w:eastAsia="en-US" w:bidi="ar-SA"/>
        </w:rPr>
        <w:t>Wskaźniki efektywności</w:t>
      </w:r>
      <w:r>
        <w:rPr>
          <w:color w:val="000000"/>
          <w:szCs w:val="20"/>
          <w:shd w:val="clear" w:color="auto" w:fill="FFFFFF"/>
          <w:lang w:eastAsia="en-US" w:bidi="ar-SA"/>
        </w:rPr>
        <w:t xml:space="preserve"> – prognoza przewiduje utrzymanie (w porównaniu do roku 2024) na zbliżonym poziomie wskaźnika </w:t>
      </w:r>
      <w:r>
        <w:rPr>
          <w:b/>
          <w:color w:val="000000"/>
          <w:szCs w:val="20"/>
          <w:shd w:val="clear" w:color="auto" w:fill="FFFFFF"/>
          <w:lang w:eastAsia="en-US" w:bidi="ar-SA"/>
        </w:rPr>
        <w:t>rotacji należności</w:t>
      </w:r>
      <w:r>
        <w:rPr>
          <w:color w:val="000000"/>
          <w:szCs w:val="20"/>
          <w:shd w:val="clear" w:color="auto" w:fill="FFFFFF"/>
          <w:lang w:eastAsia="en-US" w:bidi="ar-SA"/>
        </w:rPr>
        <w:t xml:space="preserve"> (32/32/32 dni; rok 2024 35 dni) oraz poziomu wskaźnika </w:t>
      </w:r>
      <w:r>
        <w:rPr>
          <w:b/>
          <w:color w:val="000000"/>
          <w:szCs w:val="20"/>
          <w:shd w:val="clear" w:color="auto" w:fill="FFFFFF"/>
          <w:lang w:eastAsia="en-US" w:bidi="ar-SA"/>
        </w:rPr>
        <w:t>rotacji zobowiązań</w:t>
      </w:r>
      <w:r>
        <w:rPr>
          <w:color w:val="000000"/>
          <w:szCs w:val="20"/>
          <w:shd w:val="clear" w:color="auto" w:fill="FFFFFF"/>
          <w:lang w:eastAsia="en-US" w:bidi="ar-SA"/>
        </w:rPr>
        <w:t xml:space="preserve"> (13/14/14 dni; rok 2024 12 dni). MCM „Widzew” w Łodzi nie ma problemów z terminowym uzyskiwaniem należności oraz pokrywaniem zobowiązań. </w:t>
      </w:r>
      <w:bookmarkStart w:id="13" w:name="_Hlk172300505"/>
      <w:r>
        <w:rPr>
          <w:color w:val="000000"/>
          <w:szCs w:val="20"/>
          <w:shd w:val="clear" w:color="auto" w:fill="FFFFFF"/>
          <w:lang w:eastAsia="en-US" w:bidi="ar-SA"/>
        </w:rPr>
        <w:t>W każdym z lat prognozy suma punktów wynosi 10.</w:t>
      </w:r>
    </w:p>
    <w:p w:rsidR="00B91C8A" w:rsidRDefault="00B91C8A">
      <w:pPr>
        <w:tabs>
          <w:tab w:val="left" w:pos="360"/>
        </w:tabs>
        <w:spacing w:line="276" w:lineRule="auto"/>
        <w:ind w:left="360"/>
        <w:jc w:val="both"/>
        <w:rPr>
          <w:color w:val="000000"/>
          <w:szCs w:val="20"/>
          <w:shd w:val="clear" w:color="auto" w:fill="FFFFFF"/>
          <w:lang w:eastAsia="en-US" w:bidi="ar-SA"/>
        </w:rPr>
      </w:pPr>
    </w:p>
    <w:bookmarkEnd w:id="13"/>
    <w:p w:rsidR="00B91C8A" w:rsidRDefault="004E7132">
      <w:pPr>
        <w:numPr>
          <w:ilvl w:val="0"/>
          <w:numId w:val="26"/>
        </w:numPr>
        <w:tabs>
          <w:tab w:val="left" w:pos="360"/>
        </w:tabs>
        <w:ind w:left="360"/>
        <w:jc w:val="both"/>
        <w:rPr>
          <w:i/>
          <w:color w:val="000000"/>
          <w:szCs w:val="20"/>
          <w:shd w:val="clear" w:color="auto" w:fill="FFFFFF"/>
          <w:lang w:eastAsia="en-US" w:bidi="ar-SA"/>
        </w:rPr>
      </w:pPr>
      <w:r>
        <w:rPr>
          <w:b/>
          <w:color w:val="000000"/>
          <w:szCs w:val="20"/>
          <w:shd w:val="clear" w:color="auto" w:fill="FFFFFF"/>
          <w:lang w:eastAsia="en-US" w:bidi="ar-SA"/>
        </w:rPr>
        <w:t>Wskaźniki zadłużenia</w:t>
      </w:r>
      <w:r>
        <w:rPr>
          <w:color w:val="000000"/>
          <w:szCs w:val="20"/>
          <w:shd w:val="clear" w:color="auto" w:fill="FFFFFF"/>
          <w:lang w:eastAsia="en-US" w:bidi="ar-SA"/>
        </w:rPr>
        <w:t xml:space="preserve"> </w:t>
      </w:r>
    </w:p>
    <w:p w:rsidR="00B91C8A" w:rsidRDefault="004E7132">
      <w:pPr>
        <w:numPr>
          <w:ilvl w:val="0"/>
          <w:numId w:val="27"/>
        </w:numPr>
        <w:tabs>
          <w:tab w:val="left" w:pos="360"/>
        </w:tabs>
        <w:spacing w:after="160" w:line="259" w:lineRule="auto"/>
        <w:ind w:left="709"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wskaźniki zadłużenia aktywów</w:t>
      </w:r>
      <w:r>
        <w:rPr>
          <w:color w:val="000000"/>
          <w:szCs w:val="20"/>
          <w:shd w:val="clear" w:color="auto" w:fill="FFFFFF"/>
          <w:lang w:val="en-US" w:eastAsia="en-US" w:bidi="ar-SA"/>
        </w:rPr>
        <w:t xml:space="preserve"> (stosunek zobowiązań i rezerw do aktywów) prognoza zakłada utrzymanie wskaźnika na zbliżonym poziomie do roku 2024; prognozowany wskaźnik osiąga wartości 21/23/23% (rok 2024 20%), co przekłada się na 10 punktów i</w:t>
      </w:r>
      <w:r>
        <w:rPr>
          <w:color w:val="000000"/>
          <w:szCs w:val="20"/>
          <w:shd w:val="clear" w:color="auto" w:fill="FFFFFF"/>
          <w:lang w:eastAsia="en-US" w:bidi="ar-SA"/>
        </w:rPr>
        <w:t> </w:t>
      </w:r>
      <w:r>
        <w:rPr>
          <w:color w:val="000000"/>
          <w:szCs w:val="20"/>
          <w:shd w:val="clear" w:color="auto" w:fill="FFFFFF"/>
          <w:lang w:val="en-US" w:eastAsia="en-US" w:bidi="ar-SA"/>
        </w:rPr>
        <w:t xml:space="preserve">oznacza bezpieczny poziom; </w:t>
      </w:r>
    </w:p>
    <w:p w:rsidR="00B91C8A" w:rsidRDefault="004E7132">
      <w:pPr>
        <w:numPr>
          <w:ilvl w:val="0"/>
          <w:numId w:val="27"/>
        </w:numPr>
        <w:tabs>
          <w:tab w:val="left" w:pos="360"/>
        </w:tabs>
        <w:spacing w:after="160" w:line="259" w:lineRule="auto"/>
        <w:ind w:left="709" w:hanging="283"/>
        <w:contextualSpacing/>
        <w:jc w:val="both"/>
        <w:rPr>
          <w:color w:val="000000"/>
          <w:szCs w:val="20"/>
          <w:shd w:val="clear" w:color="auto" w:fill="FFFFFF"/>
          <w:lang w:val="en-US" w:eastAsia="en-US" w:bidi="ar-SA"/>
        </w:rPr>
      </w:pPr>
      <w:r>
        <w:rPr>
          <w:b/>
          <w:color w:val="000000"/>
          <w:szCs w:val="20"/>
          <w:u w:val="single"/>
          <w:shd w:val="clear" w:color="auto" w:fill="FFFFFF"/>
          <w:lang w:val="en-US" w:eastAsia="en-US" w:bidi="ar-SA"/>
        </w:rPr>
        <w:t>wskaźnik wypłacalności</w:t>
      </w:r>
      <w:r>
        <w:rPr>
          <w:color w:val="000000"/>
          <w:szCs w:val="20"/>
          <w:shd w:val="clear" w:color="auto" w:fill="FFFFFF"/>
          <w:lang w:val="en-US" w:eastAsia="en-US" w:bidi="ar-SA"/>
        </w:rPr>
        <w:t xml:space="preserve"> (stosunek zobowiązań i rezerw do kapitału własnego) - prognoza zakłada utrzymanie wartości wskaźnika na zbliżonym poziomie roku 2024, jego prognozowana wartość wynosi 0,31/0,34/0,35, co przekłada się na wartość punktową 10 pkt</w:t>
      </w:r>
      <w:r>
        <w:rPr>
          <w:color w:val="000000"/>
          <w:szCs w:val="20"/>
          <w:shd w:val="clear" w:color="auto" w:fill="FFFFFF"/>
          <w:lang w:eastAsia="en-US" w:bidi="ar-SA"/>
        </w:rPr>
        <w:t>.</w:t>
      </w:r>
      <w:r>
        <w:rPr>
          <w:color w:val="000000"/>
          <w:szCs w:val="20"/>
          <w:shd w:val="clear" w:color="auto" w:fill="FFFFFF"/>
          <w:lang w:val="en-US" w:eastAsia="en-US" w:bidi="ar-SA"/>
        </w:rPr>
        <w:t xml:space="preserve"> </w:t>
      </w:r>
    </w:p>
    <w:p w:rsidR="00B91C8A" w:rsidRDefault="00B91C8A">
      <w:pPr>
        <w:tabs>
          <w:tab w:val="left" w:pos="360"/>
        </w:tabs>
        <w:spacing w:after="160" w:line="259" w:lineRule="auto"/>
        <w:ind w:left="709"/>
        <w:contextualSpacing/>
        <w:jc w:val="both"/>
        <w:rPr>
          <w:b/>
          <w:color w:val="000000"/>
          <w:szCs w:val="20"/>
          <w:u w:val="single"/>
          <w:shd w:val="clear" w:color="auto" w:fill="FFFFFF"/>
          <w:lang w:val="en-US" w:eastAsia="en-US" w:bidi="ar-SA"/>
        </w:rPr>
      </w:pPr>
    </w:p>
    <w:p w:rsidR="00B91C8A" w:rsidRDefault="004E7132">
      <w:pPr>
        <w:tabs>
          <w:tab w:val="left" w:pos="360"/>
        </w:tabs>
        <w:spacing w:after="160" w:line="259" w:lineRule="auto"/>
        <w:ind w:left="426"/>
        <w:contextualSpacing/>
        <w:jc w:val="both"/>
        <w:rPr>
          <w:color w:val="000000"/>
          <w:szCs w:val="20"/>
          <w:shd w:val="clear" w:color="auto" w:fill="FFFFFF"/>
          <w:lang w:val="en-US" w:eastAsia="en-US" w:bidi="ar-SA"/>
        </w:rPr>
      </w:pPr>
      <w:r>
        <w:rPr>
          <w:color w:val="000000"/>
          <w:szCs w:val="20"/>
          <w:shd w:val="clear" w:color="auto" w:fill="FFFFFF"/>
          <w:lang w:val="en-US" w:eastAsia="en-US" w:bidi="ar-SA"/>
        </w:rPr>
        <w:t>Obie wartości w okresie prognozy uzyskują łączną pulę punktów na poziomie 20 i potwierdzają stabilną sytuację finansową jednostki.</w:t>
      </w:r>
    </w:p>
    <w:p w:rsidR="00B91C8A" w:rsidRDefault="00B91C8A">
      <w:pPr>
        <w:spacing w:line="276" w:lineRule="auto"/>
        <w:jc w:val="both"/>
        <w:rPr>
          <w:color w:val="000000"/>
          <w:szCs w:val="20"/>
          <w:shd w:val="clear" w:color="auto" w:fill="FFFFFF"/>
          <w:lang w:eastAsia="en-US" w:bidi="ar-SA"/>
        </w:rPr>
      </w:pPr>
    </w:p>
    <w:p w:rsidR="00B91C8A" w:rsidRDefault="004E7132">
      <w:pPr>
        <w:spacing w:line="276" w:lineRule="auto"/>
        <w:jc w:val="both"/>
        <w:rPr>
          <w:b/>
          <w:color w:val="000000"/>
          <w:szCs w:val="20"/>
          <w:shd w:val="clear" w:color="auto" w:fill="FFFFFF"/>
          <w:lang w:eastAsia="en-US" w:bidi="ar-SA"/>
        </w:rPr>
      </w:pPr>
      <w:r>
        <w:rPr>
          <w:b/>
          <w:color w:val="000000"/>
          <w:szCs w:val="20"/>
          <w:shd w:val="clear" w:color="auto" w:fill="FFFFFF"/>
          <w:lang w:eastAsia="en-US" w:bidi="ar-SA"/>
        </w:rPr>
        <w:t>Prognoza MCM „Widzew” w Łodzi na lata 2025-2027 (zł)</w:t>
      </w:r>
    </w:p>
    <w:p w:rsidR="00B91C8A" w:rsidRDefault="00B91C8A">
      <w:pPr>
        <w:spacing w:line="276" w:lineRule="auto"/>
        <w:jc w:val="both"/>
        <w:rPr>
          <w:b/>
          <w:color w:val="000000"/>
          <w:szCs w:val="20"/>
          <w:shd w:val="clear" w:color="auto" w:fill="FFFFFF"/>
          <w:lang w:eastAsia="en-US" w:bidi="ar-SA"/>
        </w:rPr>
      </w:pPr>
    </w:p>
    <w:tbl>
      <w:tblPr>
        <w:tblW w:w="5000" w:type="pct"/>
        <w:tblCellMar>
          <w:left w:w="70" w:type="dxa"/>
          <w:right w:w="70" w:type="dxa"/>
        </w:tblCellMar>
        <w:tblLook w:val="04A0" w:firstRow="1" w:lastRow="0" w:firstColumn="1" w:lastColumn="0" w:noHBand="0" w:noVBand="1"/>
      </w:tblPr>
      <w:tblGrid>
        <w:gridCol w:w="2000"/>
        <w:gridCol w:w="722"/>
        <w:gridCol w:w="903"/>
        <w:gridCol w:w="1090"/>
        <w:gridCol w:w="722"/>
        <w:gridCol w:w="1271"/>
        <w:gridCol w:w="903"/>
        <w:gridCol w:w="1441"/>
      </w:tblGrid>
      <w:tr w:rsidR="00B91C8A">
        <w:trPr>
          <w:trHeight w:val="257"/>
        </w:trPr>
        <w:tc>
          <w:tcPr>
            <w:tcW w:w="1104" w:type="pct"/>
            <w:tcBorders>
              <w:top w:val="single" w:sz="8" w:space="0" w:color="000000"/>
              <w:left w:val="single" w:sz="8" w:space="0" w:color="000000"/>
              <w:bottom w:val="single" w:sz="8" w:space="0" w:color="000000"/>
              <w:right w:val="nil"/>
            </w:tcBorders>
            <w:noWrap/>
            <w:vAlign w:val="center"/>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Dane bilansowe</w:t>
            </w:r>
          </w:p>
        </w:tc>
        <w:tc>
          <w:tcPr>
            <w:tcW w:w="399" w:type="pct"/>
            <w:tcBorders>
              <w:top w:val="single" w:sz="8" w:space="0" w:color="000000"/>
              <w:left w:val="nil"/>
              <w:bottom w:val="single" w:sz="8" w:space="0" w:color="000000"/>
              <w:right w:val="single" w:sz="8" w:space="0" w:color="000000"/>
            </w:tcBorders>
            <w:noWrap/>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 </w:t>
            </w:r>
          </w:p>
        </w:tc>
        <w:tc>
          <w:tcPr>
            <w:tcW w:w="499" w:type="pct"/>
            <w:tcBorders>
              <w:top w:val="single" w:sz="8" w:space="0" w:color="000000"/>
              <w:left w:val="nil"/>
              <w:bottom w:val="single" w:sz="8" w:space="0" w:color="000000"/>
              <w:right w:val="nil"/>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2025</w:t>
            </w:r>
          </w:p>
        </w:tc>
        <w:tc>
          <w:tcPr>
            <w:tcW w:w="602" w:type="pct"/>
            <w:tcBorders>
              <w:top w:val="single" w:sz="8" w:space="0" w:color="000000"/>
              <w:left w:val="nil"/>
              <w:bottom w:val="single" w:sz="8" w:space="0" w:color="000000"/>
              <w:right w:val="single" w:sz="8"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wartość</w:t>
            </w:r>
          </w:p>
        </w:tc>
        <w:tc>
          <w:tcPr>
            <w:tcW w:w="399" w:type="pct"/>
            <w:tcBorders>
              <w:top w:val="single" w:sz="8" w:space="0" w:color="000000"/>
              <w:left w:val="nil"/>
              <w:bottom w:val="single" w:sz="8" w:space="0" w:color="000000"/>
              <w:right w:val="nil"/>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2026</w:t>
            </w:r>
          </w:p>
        </w:tc>
        <w:tc>
          <w:tcPr>
            <w:tcW w:w="702" w:type="pct"/>
            <w:tcBorders>
              <w:top w:val="single" w:sz="8" w:space="0" w:color="000000"/>
              <w:left w:val="nil"/>
              <w:bottom w:val="single" w:sz="8" w:space="0" w:color="000000"/>
              <w:right w:val="single" w:sz="8"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wartość</w:t>
            </w:r>
          </w:p>
        </w:tc>
        <w:tc>
          <w:tcPr>
            <w:tcW w:w="499" w:type="pct"/>
            <w:tcBorders>
              <w:top w:val="single" w:sz="8" w:space="0" w:color="000000"/>
              <w:left w:val="nil"/>
              <w:bottom w:val="single" w:sz="8" w:space="0" w:color="000000"/>
              <w:right w:val="nil"/>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2027</w:t>
            </w:r>
          </w:p>
        </w:tc>
        <w:tc>
          <w:tcPr>
            <w:tcW w:w="796" w:type="pct"/>
            <w:tcBorders>
              <w:top w:val="single" w:sz="8" w:space="0" w:color="000000"/>
              <w:left w:val="nil"/>
              <w:bottom w:val="single" w:sz="8" w:space="0" w:color="000000"/>
              <w:right w:val="single" w:sz="8" w:space="0" w:color="000000"/>
            </w:tcBorders>
            <w:vAlign w:val="center"/>
          </w:tcPr>
          <w:p w:rsidR="00B91C8A" w:rsidRDefault="004E7132">
            <w:pPr>
              <w:rPr>
                <w:color w:val="000000"/>
                <w:szCs w:val="20"/>
                <w:shd w:val="clear" w:color="auto" w:fill="FFFFFF"/>
                <w:lang w:eastAsia="en-US" w:bidi="ar-SA"/>
              </w:rPr>
            </w:pPr>
            <w:r>
              <w:rPr>
                <w:color w:val="000000"/>
                <w:szCs w:val="20"/>
                <w:shd w:val="clear" w:color="auto" w:fill="FFFFFF"/>
                <w:lang w:eastAsia="en-US" w:bidi="ar-SA"/>
              </w:rPr>
              <w:t>wartość</w:t>
            </w:r>
          </w:p>
        </w:tc>
      </w:tr>
      <w:tr w:rsidR="00B91C8A">
        <w:trPr>
          <w:trHeight w:val="636"/>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b/>
                <w:color w:val="000000"/>
                <w:szCs w:val="20"/>
                <w:shd w:val="clear" w:color="auto" w:fill="FFFFFF"/>
                <w:lang w:eastAsia="en-US" w:bidi="ar-SA"/>
              </w:rPr>
            </w:pPr>
            <w:r>
              <w:rPr>
                <w:color w:val="000000"/>
                <w:szCs w:val="20"/>
                <w:shd w:val="clear" w:color="auto" w:fill="FFFFFF"/>
                <w:lang w:eastAsia="en-US" w:bidi="ar-SA"/>
              </w:rPr>
              <w:lastRenderedPageBreak/>
              <w:t xml:space="preserve">Wynik finansowy netto trend: </w:t>
            </w:r>
            <w:r>
              <w:rPr>
                <w:b/>
                <w:color w:val="000000"/>
                <w:szCs w:val="20"/>
                <w:shd w:val="clear" w:color="auto" w:fill="FFFFFF"/>
                <w:lang w:eastAsia="en-US" w:bidi="ar-SA"/>
              </w:rPr>
              <w:t>malejący</w:t>
            </w:r>
          </w:p>
          <w:p w:rsidR="00B91C8A" w:rsidRDefault="00B91C8A">
            <w:pPr>
              <w:jc w:val="left"/>
              <w:rPr>
                <w:color w:val="000000"/>
                <w:szCs w:val="20"/>
                <w:shd w:val="clear" w:color="auto" w:fill="FFFFFF"/>
                <w:lang w:eastAsia="en-US" w:bidi="ar-SA"/>
              </w:rPr>
            </w:pP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342 642</w:t>
            </w: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176 850</w:t>
            </w:r>
          </w:p>
        </w:tc>
        <w:tc>
          <w:tcPr>
            <w:tcW w:w="1295"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134 200</w:t>
            </w:r>
          </w:p>
        </w:tc>
      </w:tr>
      <w:tr w:rsidR="00B91C8A">
        <w:trPr>
          <w:trHeight w:val="81"/>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i/>
                <w:color w:val="000000"/>
                <w:szCs w:val="20"/>
                <w:shd w:val="clear" w:color="auto" w:fill="FFFFFF"/>
                <w:lang w:eastAsia="en-US" w:bidi="ar-SA"/>
              </w:rPr>
            </w:pPr>
            <w:r>
              <w:rPr>
                <w:i/>
                <w:color w:val="000000"/>
                <w:szCs w:val="20"/>
                <w:shd w:val="clear" w:color="auto" w:fill="FFFFFF"/>
                <w:lang w:eastAsia="en-US" w:bidi="ar-SA"/>
              </w:rPr>
              <w:t>wnioski: osiąganie w prognozowanym okresie niższych wyników finansowych, na który wpływ ma wzrost kosztów wynagrodzeń, kosztów usług medycznych oraz ostrożna prognoza przychodów</w:t>
            </w:r>
          </w:p>
        </w:tc>
      </w:tr>
      <w:tr w:rsidR="00B91C8A">
        <w:trPr>
          <w:trHeight w:val="527"/>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b/>
                <w:color w:val="000000"/>
                <w:szCs w:val="20"/>
                <w:shd w:val="clear" w:color="auto" w:fill="FFFFFF"/>
                <w:lang w:eastAsia="en-US" w:bidi="ar-SA"/>
              </w:rPr>
            </w:pPr>
            <w:r>
              <w:rPr>
                <w:color w:val="000000"/>
                <w:szCs w:val="20"/>
                <w:shd w:val="clear" w:color="auto" w:fill="FFFFFF"/>
                <w:lang w:eastAsia="en-US" w:bidi="ar-SA"/>
              </w:rPr>
              <w:t xml:space="preserve">Majątek trwały </w:t>
            </w:r>
            <w:r>
              <w:rPr>
                <w:color w:val="000000"/>
                <w:szCs w:val="20"/>
                <w:shd w:val="clear" w:color="auto" w:fill="FFFFFF"/>
                <w:lang w:eastAsia="en-US" w:bidi="ar-SA"/>
              </w:rPr>
              <w:br/>
              <w:t xml:space="preserve">trend: </w:t>
            </w:r>
            <w:r>
              <w:rPr>
                <w:b/>
                <w:color w:val="000000"/>
                <w:szCs w:val="20"/>
                <w:shd w:val="clear" w:color="auto" w:fill="FFFFFF"/>
                <w:lang w:eastAsia="en-US" w:bidi="ar-SA"/>
              </w:rPr>
              <w:t>malejący</w:t>
            </w:r>
          </w:p>
          <w:p w:rsidR="00B91C8A" w:rsidRDefault="00B91C8A">
            <w:pPr>
              <w:jc w:val="left"/>
              <w:rPr>
                <w:color w:val="000000"/>
                <w:szCs w:val="20"/>
                <w:shd w:val="clear" w:color="auto" w:fill="FFFFFF"/>
                <w:lang w:eastAsia="en-US" w:bidi="ar-SA"/>
              </w:rPr>
            </w:pP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9 907 181</w:t>
            </w: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12 289 432</w:t>
            </w:r>
          </w:p>
        </w:tc>
        <w:tc>
          <w:tcPr>
            <w:tcW w:w="1295"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12 035 012</w:t>
            </w:r>
          </w:p>
        </w:tc>
      </w:tr>
      <w:tr w:rsidR="00B91C8A">
        <w:trPr>
          <w:trHeight w:val="398"/>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i/>
                <w:color w:val="000000"/>
                <w:szCs w:val="20"/>
                <w:shd w:val="clear" w:color="auto" w:fill="FFFFFF"/>
                <w:lang w:eastAsia="en-US" w:bidi="ar-SA"/>
              </w:rPr>
            </w:pPr>
            <w:r>
              <w:rPr>
                <w:i/>
                <w:color w:val="000000"/>
                <w:szCs w:val="20"/>
                <w:shd w:val="clear" w:color="auto" w:fill="FFFFFF"/>
                <w:lang w:eastAsia="en-US" w:bidi="ar-SA"/>
              </w:rPr>
              <w:t>wnioski:</w:t>
            </w:r>
            <w:r>
              <w:rPr>
                <w:color w:val="000000"/>
                <w:szCs w:val="20"/>
                <w:shd w:val="clear" w:color="auto" w:fill="FFFFFF"/>
                <w:lang w:eastAsia="en-US" w:bidi="ar-SA"/>
              </w:rPr>
              <w:t xml:space="preserve"> </w:t>
            </w:r>
            <w:r>
              <w:rPr>
                <w:i/>
                <w:color w:val="000000"/>
                <w:szCs w:val="20"/>
                <w:shd w:val="clear" w:color="auto" w:fill="FFFFFF"/>
                <w:lang w:eastAsia="en-US" w:bidi="ar-SA"/>
              </w:rPr>
              <w:t>majątek trwały wykazuje tendencję rosnącą w roku 2025 w związku z planowanymi inwestycjami, również rok 2026 zachowuje tendencję rosnącą w związku z planowaniem zakończenia inwestycji budowa POZ, rok 2027 ma tendencję malejącą na skutek naliczeń umorzeń zmniejszających wartość netto środków trwałych</w:t>
            </w:r>
          </w:p>
        </w:tc>
      </w:tr>
      <w:tr w:rsidR="00B91C8A">
        <w:trPr>
          <w:trHeight w:val="705"/>
        </w:trPr>
        <w:tc>
          <w:tcPr>
            <w:tcW w:w="1503" w:type="pct"/>
            <w:gridSpan w:val="2"/>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b/>
                <w:color w:val="000000"/>
                <w:szCs w:val="20"/>
                <w:shd w:val="clear" w:color="auto" w:fill="FFFFFF"/>
                <w:lang w:eastAsia="en-US" w:bidi="ar-SA"/>
              </w:rPr>
            </w:pPr>
            <w:r>
              <w:rPr>
                <w:color w:val="000000"/>
                <w:szCs w:val="20"/>
                <w:shd w:val="clear" w:color="auto" w:fill="FFFFFF"/>
                <w:lang w:eastAsia="en-US" w:bidi="ar-SA"/>
              </w:rPr>
              <w:t xml:space="preserve">Kapitał własny trend: </w:t>
            </w:r>
            <w:r>
              <w:rPr>
                <w:b/>
                <w:color w:val="000000"/>
                <w:szCs w:val="20"/>
                <w:shd w:val="clear" w:color="auto" w:fill="FFFFFF"/>
                <w:lang w:eastAsia="en-US" w:bidi="ar-SA"/>
              </w:rPr>
              <w:t>rosnący</w:t>
            </w:r>
          </w:p>
          <w:p w:rsidR="00B91C8A" w:rsidRDefault="00B91C8A">
            <w:pPr>
              <w:jc w:val="left"/>
              <w:rPr>
                <w:color w:val="000000"/>
                <w:szCs w:val="20"/>
                <w:shd w:val="clear" w:color="auto" w:fill="FFFFFF"/>
                <w:lang w:eastAsia="en-US" w:bidi="ar-SA"/>
              </w:rPr>
            </w:pP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14 454 928</w:t>
            </w:r>
          </w:p>
        </w:tc>
        <w:tc>
          <w:tcPr>
            <w:tcW w:w="1101"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14 631 778</w:t>
            </w:r>
          </w:p>
        </w:tc>
        <w:tc>
          <w:tcPr>
            <w:tcW w:w="1295" w:type="pct"/>
            <w:gridSpan w:val="2"/>
            <w:tcBorders>
              <w:top w:val="single" w:sz="8" w:space="0" w:color="000000"/>
              <w:left w:val="nil"/>
              <w:bottom w:val="single" w:sz="8" w:space="0" w:color="000000"/>
              <w:right w:val="single" w:sz="8" w:space="0" w:color="000000"/>
            </w:tcBorders>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14 765 978</w:t>
            </w:r>
          </w:p>
        </w:tc>
      </w:tr>
      <w:tr w:rsidR="00B91C8A">
        <w:trPr>
          <w:trHeight w:val="376"/>
        </w:trPr>
        <w:tc>
          <w:tcPr>
            <w:tcW w:w="5000" w:type="pct"/>
            <w:gridSpan w:val="8"/>
            <w:tcBorders>
              <w:top w:val="single" w:sz="8" w:space="0" w:color="000000"/>
              <w:left w:val="single" w:sz="8" w:space="0" w:color="000000"/>
              <w:bottom w:val="single" w:sz="8" w:space="0" w:color="000000"/>
              <w:right w:val="single" w:sz="8" w:space="0" w:color="000000"/>
            </w:tcBorders>
            <w:vAlign w:val="bottom"/>
          </w:tcPr>
          <w:p w:rsidR="00B91C8A" w:rsidRDefault="004E7132">
            <w:pPr>
              <w:jc w:val="left"/>
              <w:rPr>
                <w:i/>
                <w:color w:val="000000"/>
                <w:szCs w:val="20"/>
                <w:shd w:val="clear" w:color="auto" w:fill="FFFFFF"/>
                <w:lang w:eastAsia="en-US" w:bidi="ar-SA"/>
              </w:rPr>
            </w:pPr>
            <w:r>
              <w:rPr>
                <w:i/>
                <w:color w:val="000000"/>
                <w:szCs w:val="20"/>
                <w:shd w:val="clear" w:color="auto" w:fill="FFFFFF"/>
                <w:lang w:eastAsia="en-US" w:bidi="ar-SA"/>
              </w:rPr>
              <w:t>wnioski: kapitał własny w okresie prognozy będzie się zwiększał o planowane zyski.</w:t>
            </w:r>
          </w:p>
        </w:tc>
      </w:tr>
    </w:tbl>
    <w:p w:rsidR="00B91C8A" w:rsidRDefault="004E7132">
      <w:pPr>
        <w:spacing w:before="240"/>
        <w:jc w:val="both"/>
        <w:rPr>
          <w:b/>
          <w:color w:val="000000"/>
          <w:szCs w:val="20"/>
          <w:shd w:val="clear" w:color="auto" w:fill="FFFFFF"/>
          <w:lang w:eastAsia="en-US" w:bidi="ar-SA"/>
        </w:rPr>
      </w:pPr>
      <w:r>
        <w:rPr>
          <w:b/>
          <w:color w:val="000000"/>
          <w:szCs w:val="20"/>
          <w:shd w:val="clear" w:color="auto" w:fill="FFFFFF"/>
          <w:lang w:eastAsia="en-US" w:bidi="ar-SA"/>
        </w:rPr>
        <w:t xml:space="preserve">Przychody (zł) wyciąg z rachunku zysków i strat MCM „Widzew” w Łodzi na lata 2025-2027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6"/>
        <w:gridCol w:w="1383"/>
        <w:gridCol w:w="1385"/>
        <w:gridCol w:w="1348"/>
      </w:tblGrid>
      <w:tr w:rsidR="00B91C8A">
        <w:trPr>
          <w:trHeight w:val="177"/>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tabs>
                <w:tab w:val="left" w:pos="1530"/>
              </w:tabs>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Pozycje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2025</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2026</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 w:val="22"/>
                <w:szCs w:val="20"/>
                <w:shd w:val="clear" w:color="auto" w:fill="FFFFFF"/>
                <w:lang w:eastAsia="en-US" w:bidi="ar-SA"/>
              </w:rPr>
            </w:pPr>
            <w:r>
              <w:rPr>
                <w:b/>
                <w:color w:val="000000"/>
                <w:sz w:val="22"/>
                <w:szCs w:val="20"/>
                <w:shd w:val="clear" w:color="auto" w:fill="FFFFFF"/>
                <w:lang w:eastAsia="en-US" w:bidi="ar-SA"/>
              </w:rPr>
              <w:t>2027</w:t>
            </w:r>
          </w:p>
        </w:tc>
      </w:tr>
      <w:tr w:rsidR="00B91C8A">
        <w:trPr>
          <w:trHeight w:val="202"/>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hideMark/>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xml:space="preserve">Przychody netto ze sprzedaży </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 xml:space="preserve"> 22 743 750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22 992 000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 xml:space="preserve"> 23 727 700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1. Sprzedanych NFZ w tym: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20 884 000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21 212 000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 xml:space="preserve"> 21 779 700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a. POZ</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8 680 000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8 760 000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8 989 000</w:t>
            </w:r>
          </w:p>
        </w:tc>
      </w:tr>
      <w:tr w:rsidR="00B91C8A">
        <w:trPr>
          <w:trHeight w:val="7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b. ambulatoryjna opieka specjalistyczna</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9 570 000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9 652 000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9 920 700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rehabilitacja</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2 630 000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2 800 000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2 870 000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stomatologia i ortodoncja</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color w:val="000000"/>
                <w:szCs w:val="20"/>
                <w:shd w:val="clear" w:color="auto" w:fill="FFFFFF"/>
                <w:lang w:eastAsia="en-US" w:bidi="ar-SA"/>
              </w:rPr>
            </w:pPr>
            <w:r>
              <w:rPr>
                <w:i/>
                <w:color w:val="000000"/>
                <w:szCs w:val="20"/>
                <w:shd w:val="clear" w:color="auto" w:fill="FFFFFF"/>
                <w:lang w:eastAsia="en-US" w:bidi="ar-SA"/>
              </w:rPr>
              <w:t>e. pozostała sprzedaż (NFZ)</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4 000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2. Pozostałych w tym: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1 859 750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1 780 000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u w:val="single"/>
                <w:shd w:val="clear" w:color="auto" w:fill="FFFFFF"/>
                <w:lang w:eastAsia="en-US" w:bidi="ar-SA"/>
              </w:rPr>
            </w:pPr>
            <w:r>
              <w:rPr>
                <w:color w:val="000000"/>
                <w:szCs w:val="20"/>
                <w:u w:val="single"/>
                <w:shd w:val="clear" w:color="auto" w:fill="FFFFFF"/>
                <w:lang w:eastAsia="en-US" w:bidi="ar-SA"/>
              </w:rPr>
              <w:t>1 948 000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28"/>
              <w:jc w:val="left"/>
              <w:rPr>
                <w:i/>
                <w:color w:val="000000"/>
                <w:szCs w:val="20"/>
                <w:shd w:val="clear" w:color="auto" w:fill="FFFFFF"/>
                <w:lang w:eastAsia="en-US" w:bidi="ar-SA"/>
              </w:rPr>
            </w:pPr>
            <w:r>
              <w:rPr>
                <w:i/>
                <w:color w:val="000000"/>
                <w:szCs w:val="20"/>
                <w:shd w:val="clear" w:color="auto" w:fill="FFFFFF"/>
                <w:lang w:eastAsia="en-US" w:bidi="ar-SA"/>
              </w:rPr>
              <w:t>a. profilaktyczne działania zdrowotne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229 750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28"/>
              <w:jc w:val="left"/>
              <w:rPr>
                <w:i/>
                <w:color w:val="000000"/>
                <w:szCs w:val="20"/>
                <w:shd w:val="clear" w:color="auto" w:fill="FFFFFF"/>
                <w:lang w:eastAsia="en-US" w:bidi="ar-SA"/>
              </w:rPr>
            </w:pPr>
            <w:r>
              <w:rPr>
                <w:i/>
                <w:color w:val="000000"/>
                <w:szCs w:val="20"/>
                <w:shd w:val="clear" w:color="auto" w:fill="FFFFFF"/>
                <w:lang w:eastAsia="en-US" w:bidi="ar-SA"/>
              </w:rPr>
              <w:t>b. pozostała sprzedaż usług  medycznych</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520 000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580 000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588 000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wynajem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1 110 000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1 200 000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1 360 000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inne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Pozostałe przychody operacyjne w tym: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 xml:space="preserve"> 260 742</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245 200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235 300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8"/>
              </w:numPr>
              <w:ind w:left="567" w:hanging="283"/>
              <w:jc w:val="left"/>
              <w:rPr>
                <w:i/>
                <w:color w:val="000000"/>
                <w:szCs w:val="20"/>
                <w:shd w:val="clear" w:color="auto" w:fill="FFFFFF"/>
                <w:lang w:eastAsia="en-US" w:bidi="ar-SA"/>
              </w:rPr>
            </w:pPr>
            <w:r>
              <w:rPr>
                <w:i/>
                <w:color w:val="000000"/>
                <w:szCs w:val="20"/>
                <w:shd w:val="clear" w:color="auto" w:fill="FFFFFF"/>
                <w:lang w:eastAsia="en-US" w:bidi="ar-SA"/>
              </w:rPr>
              <w:t xml:space="preserve">dotacje </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b. przychody z tytułu odpisów amortyzacyjnych</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234 800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220 000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210 000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c. darowizny</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firstLine="271"/>
              <w:jc w:val="left"/>
              <w:rPr>
                <w:i/>
                <w:color w:val="000000"/>
                <w:szCs w:val="20"/>
                <w:shd w:val="clear" w:color="auto" w:fill="FFFFFF"/>
                <w:lang w:eastAsia="en-US" w:bidi="ar-SA"/>
              </w:rPr>
            </w:pPr>
            <w:r>
              <w:rPr>
                <w:i/>
                <w:color w:val="000000"/>
                <w:szCs w:val="20"/>
                <w:shd w:val="clear" w:color="auto" w:fill="FFFFFF"/>
                <w:lang w:eastAsia="en-US" w:bidi="ar-SA"/>
              </w:rPr>
              <w:t>d. pozostałe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25 942</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25 200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25 300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Przychody finansowe</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241 600</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121 650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131 700</w:t>
            </w:r>
          </w:p>
        </w:tc>
      </w:tr>
      <w:tr w:rsidR="00B91C8A">
        <w:trPr>
          <w:trHeight w:val="300"/>
          <w:jc w:val="center"/>
        </w:trPr>
        <w:tc>
          <w:tcPr>
            <w:tcW w:w="272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Przychody RAZEM</w:t>
            </w:r>
          </w:p>
        </w:tc>
        <w:tc>
          <w:tcPr>
            <w:tcW w:w="763"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23 246 092</w:t>
            </w:r>
          </w:p>
        </w:tc>
        <w:tc>
          <w:tcPr>
            <w:tcW w:w="76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23 358 850</w:t>
            </w:r>
          </w:p>
        </w:tc>
        <w:tc>
          <w:tcPr>
            <w:tcW w:w="74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24 094 700</w:t>
            </w:r>
          </w:p>
        </w:tc>
      </w:tr>
    </w:tbl>
    <w:p w:rsidR="00B91C8A" w:rsidRDefault="004E7132">
      <w:pPr>
        <w:spacing w:before="240"/>
        <w:jc w:val="both"/>
        <w:rPr>
          <w:color w:val="000000"/>
          <w:szCs w:val="20"/>
          <w:shd w:val="clear" w:color="auto" w:fill="FFFFFF"/>
          <w:lang w:eastAsia="en-US" w:bidi="ar-SA"/>
        </w:rPr>
      </w:pPr>
      <w:r>
        <w:rPr>
          <w:b/>
          <w:color w:val="000000"/>
          <w:szCs w:val="20"/>
          <w:shd w:val="clear" w:color="auto" w:fill="FFFFFF"/>
          <w:lang w:eastAsia="en-US" w:bidi="ar-SA"/>
        </w:rPr>
        <w:t xml:space="preserve">Koszty (zł) wyciąg z rachunku zysków i strat MCM „Widzew” w Łodzi na lata 2025-2027 </w:t>
      </w: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7"/>
        <w:gridCol w:w="1896"/>
        <w:gridCol w:w="1896"/>
        <w:gridCol w:w="1896"/>
      </w:tblGrid>
      <w:tr w:rsidR="00B91C8A">
        <w:trPr>
          <w:trHeight w:val="177"/>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tabs>
                <w:tab w:val="left" w:pos="1530"/>
              </w:tabs>
              <w:spacing w:line="276" w:lineRule="auto"/>
              <w:rPr>
                <w:b/>
                <w:color w:val="000000"/>
                <w:szCs w:val="20"/>
                <w:shd w:val="clear" w:color="auto" w:fill="FFFFFF"/>
                <w:lang w:eastAsia="en-US" w:bidi="ar-SA"/>
              </w:rPr>
            </w:pPr>
            <w:r>
              <w:rPr>
                <w:b/>
                <w:color w:val="000000"/>
                <w:szCs w:val="20"/>
                <w:shd w:val="clear" w:color="auto" w:fill="FFFFFF"/>
                <w:lang w:eastAsia="en-US" w:bidi="ar-SA"/>
              </w:rPr>
              <w:t>Pozycje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2025</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2026</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91C8A" w:rsidRDefault="004E7132">
            <w:pPr>
              <w:spacing w:line="276" w:lineRule="auto"/>
              <w:rPr>
                <w:b/>
                <w:color w:val="000000"/>
                <w:szCs w:val="20"/>
                <w:shd w:val="clear" w:color="auto" w:fill="FFFFFF"/>
                <w:lang w:eastAsia="en-US" w:bidi="ar-SA"/>
              </w:rPr>
            </w:pPr>
            <w:r>
              <w:rPr>
                <w:b/>
                <w:color w:val="000000"/>
                <w:szCs w:val="20"/>
                <w:shd w:val="clear" w:color="auto" w:fill="FFFFFF"/>
                <w:lang w:eastAsia="en-US" w:bidi="ar-SA"/>
              </w:rPr>
              <w:t>2027</w:t>
            </w:r>
          </w:p>
        </w:tc>
      </w:tr>
      <w:tr w:rsidR="00B91C8A">
        <w:trPr>
          <w:trHeight w:val="202"/>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lastRenderedPageBreak/>
              <w:t>Koszty działalności operacyjnej</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22 881 450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 xml:space="preserve"> 23 159 100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23 937 000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color w:val="000000"/>
                <w:szCs w:val="20"/>
                <w:shd w:val="clear" w:color="auto" w:fill="FFFFFF"/>
                <w:lang w:eastAsia="en-US" w:bidi="ar-SA"/>
              </w:rPr>
            </w:pPr>
            <w:r>
              <w:rPr>
                <w:color w:val="000000"/>
                <w:szCs w:val="20"/>
                <w:shd w:val="clear" w:color="auto" w:fill="FFFFFF"/>
                <w:lang w:eastAsia="en-US" w:bidi="ar-SA"/>
              </w:rPr>
              <w:t>1. Amortyzacja</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950 000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970 000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ind w:left="420"/>
              <w:jc w:val="right"/>
              <w:rPr>
                <w:color w:val="000000"/>
                <w:szCs w:val="20"/>
                <w:shd w:val="clear" w:color="auto" w:fill="FFFFFF"/>
                <w:lang w:eastAsia="en-US" w:bidi="ar-SA"/>
              </w:rPr>
            </w:pPr>
            <w:r>
              <w:rPr>
                <w:color w:val="000000"/>
                <w:szCs w:val="20"/>
                <w:shd w:val="clear" w:color="auto" w:fill="FFFFFF"/>
                <w:lang w:eastAsia="en-US" w:bidi="ar-SA"/>
              </w:rPr>
              <w:t>1 045 000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4" w:hanging="284"/>
              <w:jc w:val="left"/>
              <w:rPr>
                <w:color w:val="000000"/>
                <w:szCs w:val="20"/>
                <w:shd w:val="clear" w:color="auto" w:fill="FFFFFF"/>
                <w:lang w:eastAsia="en-US" w:bidi="ar-SA"/>
              </w:rPr>
            </w:pPr>
            <w:r>
              <w:rPr>
                <w:color w:val="000000"/>
                <w:szCs w:val="20"/>
                <w:shd w:val="clear" w:color="auto" w:fill="FFFFFF"/>
                <w:lang w:eastAsia="en-US" w:bidi="ar-SA"/>
              </w:rPr>
              <w:t>Zużycie materiałów i energii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1 630 000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1 697 400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ind w:left="420"/>
              <w:jc w:val="right"/>
              <w:rPr>
                <w:color w:val="000000"/>
                <w:szCs w:val="20"/>
                <w:shd w:val="clear" w:color="auto" w:fill="FFFFFF"/>
                <w:lang w:eastAsia="en-US" w:bidi="ar-SA"/>
              </w:rPr>
            </w:pPr>
            <w:r>
              <w:rPr>
                <w:color w:val="000000"/>
                <w:szCs w:val="20"/>
                <w:shd w:val="clear" w:color="auto" w:fill="FFFFFF"/>
                <w:lang w:eastAsia="en-US" w:bidi="ar-SA"/>
              </w:rPr>
              <w:t>1 729 800</w:t>
            </w:r>
          </w:p>
        </w:tc>
      </w:tr>
      <w:tr w:rsidR="00B91C8A">
        <w:trPr>
          <w:trHeight w:val="7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0"/>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t>Materiałów niemedycznych</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215 000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227 400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234 800</w:t>
            </w:r>
          </w:p>
        </w:tc>
      </w:tr>
      <w:tr w:rsidR="00B91C8A">
        <w:trPr>
          <w:trHeight w:val="7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0"/>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t>Materiałów medycznych</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380 000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403 000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412 000</w:t>
            </w:r>
          </w:p>
        </w:tc>
      </w:tr>
      <w:tr w:rsidR="00B91C8A">
        <w:trPr>
          <w:trHeight w:val="7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0"/>
              </w:numPr>
              <w:tabs>
                <w:tab w:val="left" w:pos="424"/>
              </w:tabs>
              <w:jc w:val="left"/>
              <w:rPr>
                <w:i/>
                <w:color w:val="000000"/>
                <w:szCs w:val="20"/>
                <w:shd w:val="clear" w:color="auto" w:fill="FFFFFF"/>
                <w:lang w:eastAsia="en-US" w:bidi="ar-SA"/>
              </w:rPr>
            </w:pPr>
            <w:r>
              <w:rPr>
                <w:i/>
                <w:color w:val="000000"/>
                <w:szCs w:val="20"/>
                <w:shd w:val="clear" w:color="auto" w:fill="FFFFFF"/>
                <w:lang w:eastAsia="en-US" w:bidi="ar-SA"/>
              </w:rPr>
              <w:t>Energii i wody</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1 035 000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1 067 000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1 083 000</w:t>
            </w:r>
          </w:p>
        </w:tc>
      </w:tr>
      <w:tr w:rsidR="00B91C8A">
        <w:trPr>
          <w:trHeight w:val="7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4" w:hanging="284"/>
              <w:jc w:val="left"/>
              <w:rPr>
                <w:color w:val="000000"/>
                <w:szCs w:val="20"/>
                <w:shd w:val="clear" w:color="auto" w:fill="FFFFFF"/>
                <w:lang w:eastAsia="en-US" w:bidi="ar-SA"/>
              </w:rPr>
            </w:pPr>
            <w:r>
              <w:rPr>
                <w:color w:val="000000"/>
                <w:szCs w:val="20"/>
                <w:shd w:val="clear" w:color="auto" w:fill="FFFFFF"/>
                <w:lang w:eastAsia="en-US" w:bidi="ar-SA"/>
              </w:rPr>
              <w:t>Usługi obce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9 311 000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9 319 100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ind w:left="420"/>
              <w:jc w:val="right"/>
              <w:rPr>
                <w:color w:val="000000"/>
                <w:szCs w:val="20"/>
                <w:shd w:val="clear" w:color="auto" w:fill="FFFFFF"/>
                <w:lang w:eastAsia="en-US" w:bidi="ar-SA"/>
              </w:rPr>
            </w:pPr>
            <w:r>
              <w:rPr>
                <w:color w:val="000000"/>
                <w:szCs w:val="20"/>
                <w:shd w:val="clear" w:color="auto" w:fill="FFFFFF"/>
                <w:lang w:eastAsia="en-US" w:bidi="ar-SA"/>
              </w:rPr>
              <w:t>9 543 100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1"/>
              </w:numPr>
              <w:jc w:val="left"/>
              <w:rPr>
                <w:i/>
                <w:color w:val="000000"/>
                <w:szCs w:val="20"/>
                <w:shd w:val="clear" w:color="auto" w:fill="FFFFFF"/>
                <w:lang w:eastAsia="en-US" w:bidi="ar-SA"/>
              </w:rPr>
            </w:pPr>
            <w:r>
              <w:rPr>
                <w:i/>
                <w:color w:val="000000"/>
                <w:szCs w:val="20"/>
                <w:shd w:val="clear" w:color="auto" w:fill="FFFFFF"/>
                <w:lang w:eastAsia="en-US" w:bidi="ar-SA"/>
              </w:rPr>
              <w:t>Usługi niemedyczne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1 150 000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1 078 000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1 092 000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1"/>
              </w:numPr>
              <w:jc w:val="left"/>
              <w:rPr>
                <w:i/>
                <w:color w:val="000000"/>
                <w:szCs w:val="20"/>
                <w:shd w:val="clear" w:color="auto" w:fill="FFFFFF"/>
                <w:lang w:eastAsia="en-US" w:bidi="ar-SA"/>
              </w:rPr>
            </w:pPr>
            <w:r>
              <w:rPr>
                <w:i/>
                <w:color w:val="000000"/>
                <w:szCs w:val="20"/>
                <w:shd w:val="clear" w:color="auto" w:fill="FFFFFF"/>
                <w:lang w:eastAsia="en-US" w:bidi="ar-SA"/>
              </w:rPr>
              <w:t>Usługi medyczne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i/>
                <w:color w:val="000000"/>
                <w:szCs w:val="20"/>
                <w:shd w:val="clear" w:color="auto" w:fill="FFFFFF"/>
                <w:lang w:val="en-US" w:eastAsia="en-US" w:bidi="ar-SA"/>
              </w:rPr>
            </w:pPr>
            <w:r>
              <w:rPr>
                <w:i/>
                <w:color w:val="000000"/>
                <w:szCs w:val="20"/>
                <w:shd w:val="clear" w:color="auto" w:fill="FFFFFF"/>
                <w:lang w:eastAsia="en-US" w:bidi="ar-SA"/>
              </w:rPr>
              <w:t>8 </w:t>
            </w:r>
            <w:r>
              <w:rPr>
                <w:i/>
                <w:color w:val="000000"/>
                <w:szCs w:val="20"/>
                <w:shd w:val="clear" w:color="auto" w:fill="FFFFFF"/>
                <w:lang w:val="en-US" w:eastAsia="en-US" w:bidi="ar-SA"/>
              </w:rPr>
              <w:t>161 000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i/>
                <w:color w:val="000000"/>
                <w:szCs w:val="20"/>
                <w:shd w:val="clear" w:color="auto" w:fill="FFFFFF"/>
                <w:lang w:val="en-US" w:eastAsia="en-US" w:bidi="ar-SA"/>
              </w:rPr>
            </w:pPr>
            <w:r>
              <w:rPr>
                <w:i/>
                <w:color w:val="000000"/>
                <w:szCs w:val="20"/>
                <w:shd w:val="clear" w:color="auto" w:fill="FFFFFF"/>
                <w:lang w:eastAsia="en-US" w:bidi="ar-SA"/>
              </w:rPr>
              <w:t>8 </w:t>
            </w:r>
            <w:r>
              <w:rPr>
                <w:i/>
                <w:color w:val="000000"/>
                <w:szCs w:val="20"/>
                <w:shd w:val="clear" w:color="auto" w:fill="FFFFFF"/>
                <w:lang w:val="en-US" w:eastAsia="en-US" w:bidi="ar-SA"/>
              </w:rPr>
              <w:t>241 100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i/>
                <w:color w:val="000000"/>
                <w:szCs w:val="20"/>
                <w:shd w:val="clear" w:color="auto" w:fill="FFFFFF"/>
                <w:lang w:val="en-US" w:eastAsia="en-US" w:bidi="ar-SA"/>
              </w:rPr>
            </w:pPr>
            <w:r>
              <w:rPr>
                <w:i/>
                <w:color w:val="000000"/>
                <w:szCs w:val="20"/>
                <w:shd w:val="clear" w:color="auto" w:fill="FFFFFF"/>
                <w:lang w:eastAsia="en-US" w:bidi="ar-SA"/>
              </w:rPr>
              <w:t>8 </w:t>
            </w:r>
            <w:r>
              <w:rPr>
                <w:i/>
                <w:color w:val="000000"/>
                <w:szCs w:val="20"/>
                <w:shd w:val="clear" w:color="auto" w:fill="FFFFFF"/>
                <w:lang w:val="en-US" w:eastAsia="en-US" w:bidi="ar-SA"/>
              </w:rPr>
              <w:t>451 100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left="567"/>
              <w:jc w:val="left"/>
              <w:rPr>
                <w:i/>
                <w:color w:val="000000"/>
                <w:szCs w:val="20"/>
                <w:shd w:val="clear" w:color="auto" w:fill="FFFFFF"/>
                <w:lang w:eastAsia="en-US" w:bidi="ar-SA"/>
              </w:rPr>
            </w:pPr>
            <w:r>
              <w:rPr>
                <w:i/>
                <w:color w:val="000000"/>
                <w:szCs w:val="20"/>
                <w:shd w:val="clear" w:color="auto" w:fill="FFFFFF"/>
                <w:lang w:eastAsia="en-US" w:bidi="ar-SA"/>
              </w:rPr>
              <w:t>- podwykonawstwo medyczne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color w:val="000000"/>
                <w:szCs w:val="20"/>
                <w:shd w:val="clear" w:color="auto" w:fill="FFFFFF"/>
                <w:lang w:val="en-US" w:eastAsia="en-US" w:bidi="ar-SA"/>
              </w:rPr>
            </w:pPr>
            <w:r>
              <w:rPr>
                <w:color w:val="000000"/>
                <w:szCs w:val="20"/>
                <w:shd w:val="clear" w:color="auto" w:fill="FFFFFF"/>
                <w:lang w:eastAsia="en-US" w:bidi="ar-SA"/>
              </w:rPr>
              <w:t>7 </w:t>
            </w:r>
            <w:r>
              <w:rPr>
                <w:color w:val="000000"/>
                <w:szCs w:val="20"/>
                <w:shd w:val="clear" w:color="auto" w:fill="FFFFFF"/>
                <w:lang w:val="en-US" w:eastAsia="en-US" w:bidi="ar-SA"/>
              </w:rPr>
              <w:t>440 000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color w:val="000000"/>
                <w:szCs w:val="20"/>
                <w:shd w:val="clear" w:color="auto" w:fill="FFFFFF"/>
                <w:lang w:val="en-US" w:eastAsia="en-US" w:bidi="ar-SA"/>
              </w:rPr>
            </w:pPr>
            <w:r>
              <w:rPr>
                <w:color w:val="000000"/>
                <w:szCs w:val="20"/>
                <w:shd w:val="clear" w:color="auto" w:fill="FFFFFF"/>
                <w:lang w:eastAsia="en-US" w:bidi="ar-SA"/>
              </w:rPr>
              <w:t>7 </w:t>
            </w:r>
            <w:r>
              <w:rPr>
                <w:color w:val="000000"/>
                <w:szCs w:val="20"/>
                <w:shd w:val="clear" w:color="auto" w:fill="FFFFFF"/>
                <w:lang w:val="en-US" w:eastAsia="en-US" w:bidi="ar-SA"/>
              </w:rPr>
              <w:t>500 000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spacing w:after="160" w:line="259" w:lineRule="auto"/>
              <w:ind w:left="720"/>
              <w:contextualSpacing/>
              <w:jc w:val="right"/>
              <w:rPr>
                <w:color w:val="000000"/>
                <w:szCs w:val="20"/>
                <w:shd w:val="clear" w:color="auto" w:fill="FFFFFF"/>
                <w:lang w:val="en-US" w:eastAsia="en-US" w:bidi="ar-SA"/>
              </w:rPr>
            </w:pPr>
            <w:r>
              <w:rPr>
                <w:color w:val="000000"/>
                <w:szCs w:val="20"/>
                <w:shd w:val="clear" w:color="auto" w:fill="FFFFFF"/>
                <w:lang w:eastAsia="en-US" w:bidi="ar-SA"/>
              </w:rPr>
              <w:t>7 </w:t>
            </w:r>
            <w:r>
              <w:rPr>
                <w:color w:val="000000"/>
                <w:szCs w:val="20"/>
                <w:shd w:val="clear" w:color="auto" w:fill="FFFFFF"/>
                <w:lang w:val="en-US" w:eastAsia="en-US" w:bidi="ar-SA"/>
              </w:rPr>
              <w:t>700 000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ind w:left="567"/>
              <w:jc w:val="left"/>
              <w:rPr>
                <w:i/>
                <w:color w:val="000000"/>
                <w:szCs w:val="20"/>
                <w:shd w:val="clear" w:color="auto" w:fill="FFFFFF"/>
                <w:lang w:eastAsia="en-US" w:bidi="ar-SA"/>
              </w:rPr>
            </w:pPr>
            <w:r>
              <w:rPr>
                <w:i/>
                <w:color w:val="000000"/>
                <w:szCs w:val="20"/>
                <w:shd w:val="clear" w:color="auto" w:fill="FFFFFF"/>
                <w:lang w:eastAsia="en-US" w:bidi="ar-SA"/>
              </w:rPr>
              <w:t xml:space="preserve">- usługi diagnostyczne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720 000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740 000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750 000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2" w:hanging="284"/>
              <w:jc w:val="left"/>
              <w:rPr>
                <w:color w:val="000000"/>
                <w:szCs w:val="20"/>
                <w:shd w:val="clear" w:color="auto" w:fill="FFFFFF"/>
                <w:lang w:eastAsia="en-US" w:bidi="ar-SA"/>
              </w:rPr>
            </w:pPr>
            <w:r>
              <w:rPr>
                <w:color w:val="000000"/>
                <w:szCs w:val="20"/>
                <w:shd w:val="clear" w:color="auto" w:fill="FFFFFF"/>
                <w:lang w:eastAsia="en-US" w:bidi="ar-SA"/>
              </w:rPr>
              <w:t>Podatki i opłaty</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79 130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79 600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90 600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2" w:hanging="284"/>
              <w:jc w:val="left"/>
              <w:rPr>
                <w:color w:val="000000"/>
                <w:szCs w:val="20"/>
                <w:shd w:val="clear" w:color="auto" w:fill="FFFFFF"/>
                <w:lang w:eastAsia="en-US" w:bidi="ar-SA"/>
              </w:rPr>
            </w:pPr>
            <w:r>
              <w:rPr>
                <w:color w:val="000000"/>
                <w:szCs w:val="20"/>
                <w:shd w:val="clear" w:color="auto" w:fill="FFFFFF"/>
                <w:lang w:eastAsia="en-US" w:bidi="ar-SA"/>
              </w:rPr>
              <w:t>Wynagrodzenia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9 005 590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9 090 000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9 460 000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2"/>
              </w:numPr>
              <w:ind w:left="457" w:hanging="283"/>
              <w:jc w:val="left"/>
              <w:rPr>
                <w:i/>
                <w:color w:val="000000"/>
                <w:szCs w:val="20"/>
                <w:shd w:val="clear" w:color="auto" w:fill="FFFFFF"/>
                <w:lang w:eastAsia="en-US" w:bidi="ar-SA"/>
              </w:rPr>
            </w:pPr>
            <w:r>
              <w:rPr>
                <w:i/>
                <w:color w:val="000000"/>
                <w:szCs w:val="20"/>
                <w:shd w:val="clear" w:color="auto" w:fill="FFFFFF"/>
                <w:lang w:eastAsia="en-US" w:bidi="ar-SA"/>
              </w:rPr>
              <w:t>wynagrodzenia ze stosunku pracy</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7 490 000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7 800 000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8 100 000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2"/>
              </w:numPr>
              <w:ind w:left="457" w:hanging="283"/>
              <w:jc w:val="left"/>
              <w:rPr>
                <w:i/>
                <w:color w:val="000000"/>
                <w:szCs w:val="20"/>
                <w:shd w:val="clear" w:color="auto" w:fill="FFFFFF"/>
                <w:lang w:eastAsia="en-US" w:bidi="ar-SA"/>
              </w:rPr>
            </w:pPr>
            <w:r>
              <w:rPr>
                <w:i/>
                <w:color w:val="000000"/>
                <w:szCs w:val="20"/>
                <w:shd w:val="clear" w:color="auto" w:fill="FFFFFF"/>
                <w:lang w:eastAsia="en-US" w:bidi="ar-SA"/>
              </w:rPr>
              <w:t>wynagrodzenia umowy zlecenia</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900 000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1 040 000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1 080 000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2" w:hanging="282"/>
              <w:jc w:val="left"/>
              <w:rPr>
                <w:color w:val="000000"/>
                <w:szCs w:val="20"/>
                <w:shd w:val="clear" w:color="auto" w:fill="FFFFFF"/>
                <w:lang w:eastAsia="en-US" w:bidi="ar-SA"/>
              </w:rPr>
            </w:pPr>
            <w:r>
              <w:rPr>
                <w:color w:val="000000"/>
                <w:szCs w:val="20"/>
                <w:shd w:val="clear" w:color="auto" w:fill="FFFFFF"/>
                <w:lang w:eastAsia="en-US" w:bidi="ar-SA"/>
              </w:rPr>
              <w:t>Ubezpieczenia społeczne i inne świadczenia</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1 835 730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1 929 000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1 992 500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29"/>
              </w:numPr>
              <w:ind w:left="282" w:hanging="284"/>
              <w:jc w:val="left"/>
              <w:rPr>
                <w:color w:val="000000"/>
                <w:szCs w:val="20"/>
                <w:shd w:val="clear" w:color="auto" w:fill="FFFFFF"/>
                <w:lang w:eastAsia="en-US" w:bidi="ar-SA"/>
              </w:rPr>
            </w:pPr>
            <w:r>
              <w:rPr>
                <w:color w:val="000000"/>
                <w:szCs w:val="20"/>
                <w:shd w:val="clear" w:color="auto" w:fill="FFFFFF"/>
                <w:lang w:eastAsia="en-US" w:bidi="ar-SA"/>
              </w:rPr>
              <w:t>Pozostałe koszty rodzajowe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70 000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74 000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color w:val="000000"/>
                <w:szCs w:val="20"/>
                <w:shd w:val="clear" w:color="auto" w:fill="FFFFFF"/>
                <w:lang w:eastAsia="en-US" w:bidi="ar-SA"/>
              </w:rPr>
            </w:pPr>
            <w:r>
              <w:rPr>
                <w:color w:val="000000"/>
                <w:szCs w:val="20"/>
                <w:shd w:val="clear" w:color="auto" w:fill="FFFFFF"/>
                <w:lang w:eastAsia="en-US" w:bidi="ar-SA"/>
              </w:rPr>
              <w:t xml:space="preserve"> 76 000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Pozostałe koszty operacyjne</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19 500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20 600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21 100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Koszty finansowe w tym:</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2 500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2 300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2 400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tcPr>
          <w:p w:rsidR="00B91C8A" w:rsidRDefault="004E7132">
            <w:pPr>
              <w:numPr>
                <w:ilvl w:val="0"/>
                <w:numId w:val="33"/>
              </w:numPr>
              <w:ind w:left="567"/>
              <w:jc w:val="left"/>
              <w:rPr>
                <w:i/>
                <w:color w:val="000000"/>
                <w:szCs w:val="20"/>
                <w:shd w:val="clear" w:color="auto" w:fill="FFFFFF"/>
                <w:lang w:eastAsia="en-US" w:bidi="ar-SA"/>
              </w:rPr>
            </w:pPr>
            <w:r>
              <w:rPr>
                <w:i/>
                <w:color w:val="000000"/>
                <w:szCs w:val="20"/>
                <w:shd w:val="clear" w:color="auto" w:fill="FFFFFF"/>
                <w:lang w:eastAsia="en-US" w:bidi="ar-SA"/>
              </w:rPr>
              <w:t>odsetki od kredytów/pożyczek</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 xml:space="preserve"> 1 700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1 800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i/>
                <w:color w:val="000000"/>
                <w:szCs w:val="20"/>
                <w:shd w:val="clear" w:color="auto" w:fill="FFFFFF"/>
                <w:lang w:eastAsia="en-US" w:bidi="ar-SA"/>
              </w:rPr>
            </w:pPr>
            <w:r>
              <w:rPr>
                <w:i/>
                <w:color w:val="000000"/>
                <w:szCs w:val="20"/>
                <w:shd w:val="clear" w:color="auto" w:fill="FFFFFF"/>
                <w:lang w:eastAsia="en-US" w:bidi="ar-SA"/>
              </w:rPr>
              <w:t>1 900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numPr>
                <w:ilvl w:val="0"/>
                <w:numId w:val="11"/>
              </w:numPr>
              <w:ind w:left="15" w:hanging="528"/>
              <w:jc w:val="left"/>
              <w:rPr>
                <w:b/>
                <w:color w:val="000000"/>
                <w:szCs w:val="20"/>
                <w:shd w:val="clear" w:color="auto" w:fill="FFFFFF"/>
                <w:lang w:eastAsia="en-US" w:bidi="ar-SA"/>
              </w:rPr>
            </w:pPr>
            <w:r>
              <w:rPr>
                <w:b/>
                <w:color w:val="000000"/>
                <w:szCs w:val="20"/>
                <w:shd w:val="clear" w:color="auto" w:fill="FFFFFF"/>
                <w:lang w:eastAsia="en-US" w:bidi="ar-SA"/>
              </w:rPr>
              <w:t xml:space="preserve">KOSZTY ŁĄCZNIE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22 903 450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23 182 000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23 960 500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jc w:val="left"/>
              <w:rPr>
                <w:b/>
                <w:color w:val="000000"/>
                <w:szCs w:val="20"/>
                <w:shd w:val="clear" w:color="auto" w:fill="FFFFFF"/>
                <w:lang w:eastAsia="en-US" w:bidi="ar-SA"/>
              </w:rPr>
            </w:pPr>
            <w:r>
              <w:rPr>
                <w:b/>
                <w:color w:val="000000"/>
                <w:szCs w:val="20"/>
                <w:shd w:val="clear" w:color="auto" w:fill="FFFFFF"/>
                <w:lang w:eastAsia="en-US" w:bidi="ar-SA"/>
              </w:rPr>
              <w:t xml:space="preserve">Podatek dochodowy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B91C8A">
            <w:pPr>
              <w:numPr>
                <w:ilvl w:val="0"/>
                <w:numId w:val="11"/>
              </w:numPr>
              <w:ind w:left="567" w:hanging="1080"/>
              <w:jc w:val="left"/>
              <w:rPr>
                <w:b/>
                <w:color w:val="000000"/>
                <w:szCs w:val="20"/>
                <w:shd w:val="clear" w:color="auto" w:fill="FFFFFF"/>
                <w:lang w:eastAsia="en-US" w:bidi="ar-SA"/>
              </w:rPr>
            </w:pPr>
          </w:p>
          <w:p w:rsidR="00B91C8A" w:rsidRDefault="004E7132">
            <w:pPr>
              <w:numPr>
                <w:ilvl w:val="0"/>
                <w:numId w:val="11"/>
              </w:numPr>
              <w:ind w:left="15" w:hanging="528"/>
              <w:jc w:val="left"/>
              <w:rPr>
                <w:b/>
                <w:color w:val="000000"/>
                <w:szCs w:val="20"/>
                <w:shd w:val="clear" w:color="auto" w:fill="FFFFFF"/>
                <w:lang w:eastAsia="en-US" w:bidi="ar-SA"/>
              </w:rPr>
            </w:pPr>
            <w:r>
              <w:rPr>
                <w:b/>
                <w:color w:val="000000"/>
                <w:szCs w:val="20"/>
                <w:shd w:val="clear" w:color="auto" w:fill="FFFFFF"/>
                <w:lang w:eastAsia="en-US" w:bidi="ar-SA"/>
              </w:rPr>
              <w:t xml:space="preserve">WYNIK FINANSOWY NETTO </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342 642</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176 850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color w:val="000000"/>
                <w:szCs w:val="20"/>
                <w:shd w:val="clear" w:color="auto" w:fill="FFFFFF"/>
                <w:lang w:eastAsia="en-US" w:bidi="ar-SA"/>
              </w:rPr>
            </w:pPr>
            <w:r>
              <w:rPr>
                <w:b/>
                <w:color w:val="000000"/>
                <w:szCs w:val="20"/>
                <w:shd w:val="clear" w:color="auto" w:fill="FFFFFF"/>
                <w:lang w:eastAsia="en-US" w:bidi="ar-SA"/>
              </w:rPr>
              <w:t>134 200</w:t>
            </w:r>
          </w:p>
        </w:tc>
      </w:tr>
      <w:tr w:rsidR="00B91C8A">
        <w:trPr>
          <w:trHeight w:val="300"/>
          <w:jc w:val="center"/>
        </w:trPr>
        <w:tc>
          <w:tcPr>
            <w:tcW w:w="27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91C8A" w:rsidRDefault="004E7132">
            <w:pPr>
              <w:jc w:val="left"/>
              <w:rPr>
                <w:b/>
                <w:i/>
                <w:color w:val="000000"/>
                <w:szCs w:val="20"/>
                <w:u w:val="single"/>
                <w:shd w:val="clear" w:color="auto" w:fill="FFFFFF"/>
                <w:lang w:eastAsia="en-US" w:bidi="ar-SA"/>
              </w:rPr>
            </w:pPr>
            <w:r>
              <w:rPr>
                <w:b/>
                <w:i/>
                <w:color w:val="000000"/>
                <w:szCs w:val="20"/>
                <w:u w:val="single"/>
                <w:shd w:val="clear" w:color="auto" w:fill="FFFFFF"/>
                <w:lang w:eastAsia="en-US" w:bidi="ar-SA"/>
              </w:rPr>
              <w:t>Wynik finansowy po dodaniu kosztów amortyzacji</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i/>
                <w:color w:val="000000"/>
                <w:szCs w:val="20"/>
                <w:u w:val="single"/>
                <w:shd w:val="clear" w:color="auto" w:fill="FFFFFF"/>
                <w:lang w:eastAsia="en-US" w:bidi="ar-SA"/>
              </w:rPr>
            </w:pPr>
            <w:r>
              <w:rPr>
                <w:b/>
                <w:i/>
                <w:color w:val="000000"/>
                <w:szCs w:val="20"/>
                <w:u w:val="single"/>
                <w:shd w:val="clear" w:color="auto" w:fill="FFFFFF"/>
                <w:lang w:eastAsia="en-US" w:bidi="ar-SA"/>
              </w:rPr>
              <w:t>1 292 642</w:t>
            </w:r>
          </w:p>
        </w:tc>
        <w:tc>
          <w:tcPr>
            <w:tcW w:w="739"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i/>
                <w:color w:val="000000"/>
                <w:szCs w:val="20"/>
                <w:u w:val="single"/>
                <w:shd w:val="clear" w:color="auto" w:fill="FFFFFF"/>
                <w:lang w:eastAsia="en-US" w:bidi="ar-SA"/>
              </w:rPr>
            </w:pPr>
            <w:r>
              <w:rPr>
                <w:b/>
                <w:i/>
                <w:color w:val="000000"/>
                <w:szCs w:val="20"/>
                <w:u w:val="single"/>
                <w:shd w:val="clear" w:color="auto" w:fill="FFFFFF"/>
                <w:lang w:eastAsia="en-US" w:bidi="ar-SA"/>
              </w:rPr>
              <w:t>1 146 850</w:t>
            </w:r>
          </w:p>
        </w:tc>
        <w:tc>
          <w:tcPr>
            <w:tcW w:w="804"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91C8A" w:rsidRDefault="004E7132">
            <w:pPr>
              <w:jc w:val="right"/>
              <w:rPr>
                <w:b/>
                <w:i/>
                <w:color w:val="000000"/>
                <w:szCs w:val="20"/>
                <w:u w:val="single"/>
                <w:shd w:val="clear" w:color="auto" w:fill="FFFFFF"/>
                <w:lang w:eastAsia="en-US" w:bidi="ar-SA"/>
              </w:rPr>
            </w:pPr>
            <w:r>
              <w:rPr>
                <w:b/>
                <w:i/>
                <w:color w:val="000000"/>
                <w:szCs w:val="20"/>
                <w:u w:val="single"/>
                <w:shd w:val="clear" w:color="auto" w:fill="FFFFFF"/>
                <w:lang w:eastAsia="en-US" w:bidi="ar-SA"/>
              </w:rPr>
              <w:t>1 179 200</w:t>
            </w:r>
          </w:p>
        </w:tc>
      </w:tr>
    </w:tbl>
    <w:p w:rsidR="00B91C8A" w:rsidRDefault="00B91C8A">
      <w:pPr>
        <w:spacing w:before="240" w:after="200" w:line="276" w:lineRule="auto"/>
        <w:jc w:val="both"/>
        <w:rPr>
          <w:b/>
          <w:color w:val="000000"/>
          <w:szCs w:val="20"/>
          <w:shd w:val="clear" w:color="auto" w:fill="FFFFFF"/>
          <w:lang w:eastAsia="en-US" w:bidi="ar-SA"/>
        </w:rPr>
      </w:pPr>
    </w:p>
    <w:p w:rsidR="00B91C8A" w:rsidRDefault="004E7132">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br w:type="page"/>
      </w:r>
      <w:r>
        <w:rPr>
          <w:b/>
          <w:color w:val="000000"/>
          <w:szCs w:val="20"/>
          <w:shd w:val="clear" w:color="auto" w:fill="FFFFFF"/>
          <w:lang w:eastAsia="en-US" w:bidi="ar-SA"/>
        </w:rPr>
        <w:lastRenderedPageBreak/>
        <w:t>Pozostałe założenia przyjęte przez MCM „Widzew” w Łodzi na lata 2025-2027</w:t>
      </w:r>
    </w:p>
    <w:p w:rsidR="00B91C8A" w:rsidRDefault="004E7132">
      <w:pPr>
        <w:spacing w:line="276" w:lineRule="auto"/>
        <w:jc w:val="both"/>
        <w:rPr>
          <w:color w:val="000000"/>
          <w:szCs w:val="20"/>
          <w:shd w:val="clear" w:color="auto" w:fill="FFFFFF"/>
          <w:lang w:eastAsia="en-US" w:bidi="ar-SA"/>
        </w:rPr>
      </w:pPr>
      <w:r>
        <w:rPr>
          <w:color w:val="000000"/>
          <w:szCs w:val="20"/>
          <w:shd w:val="clear" w:color="auto" w:fill="FFFFFF"/>
          <w:lang w:eastAsia="en-US" w:bidi="ar-SA"/>
        </w:rPr>
        <w:t>W przedstawionym raporcie MCM „Widzew” w Łodzi wskazało na następujące założenia określające funkcjonowanie i rozwój jednostki w prognozowanym okresie</w:t>
      </w:r>
      <w:r>
        <w:rPr>
          <w:color w:val="000000"/>
          <w:szCs w:val="20"/>
          <w:shd w:val="clear" w:color="auto" w:fill="FFFFFF"/>
        </w:rPr>
        <w:t xml:space="preserve"> </w:t>
      </w:r>
      <w:r>
        <w:rPr>
          <w:color w:val="000000"/>
          <w:szCs w:val="20"/>
          <w:shd w:val="clear" w:color="auto" w:fill="FFFFFF"/>
          <w:lang w:eastAsia="en-US" w:bidi="ar-SA"/>
        </w:rPr>
        <w:t>2025-2027.</w:t>
      </w:r>
    </w:p>
    <w:p w:rsidR="00B91C8A" w:rsidRDefault="004E7132">
      <w:pPr>
        <w:jc w:val="both"/>
        <w:rPr>
          <w:color w:val="000000"/>
          <w:szCs w:val="20"/>
          <w:shd w:val="clear" w:color="auto" w:fill="FFFFFF"/>
          <w:lang w:eastAsia="en-US" w:bidi="ar-SA"/>
        </w:rPr>
      </w:pPr>
      <w:r>
        <w:rPr>
          <w:color w:val="000000"/>
          <w:szCs w:val="20"/>
          <w:shd w:val="clear" w:color="auto" w:fill="FFFFFF"/>
          <w:lang w:eastAsia="en-US" w:bidi="ar-SA"/>
        </w:rPr>
        <w:t>Plan inwestycyjny na 2025 rok zakłada następujące wydatki na :</w:t>
      </w:r>
      <w:bookmarkStart w:id="14" w:name="_Hlk184987258"/>
      <w:bookmarkStart w:id="15" w:name="_Hlk120703461"/>
    </w:p>
    <w:p w:rsidR="00B91C8A" w:rsidRDefault="004E7132">
      <w:pPr>
        <w:numPr>
          <w:ilvl w:val="0"/>
          <w:numId w:val="34"/>
        </w:numPr>
        <w:spacing w:after="160" w:line="259"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eastAsia="en-US" w:bidi="ar-SA"/>
        </w:rPr>
        <w:t>z</w:t>
      </w:r>
      <w:r>
        <w:rPr>
          <w:color w:val="000000"/>
          <w:szCs w:val="20"/>
          <w:shd w:val="clear" w:color="auto" w:fill="FFFFFF"/>
          <w:lang w:val="en-US" w:eastAsia="en-US" w:bidi="ar-SA"/>
        </w:rPr>
        <w:t>akup aparatu do magnetoterapii z akcesoriami</w:t>
      </w:r>
      <w:r>
        <w:rPr>
          <w:color w:val="000000"/>
          <w:szCs w:val="20"/>
          <w:shd w:val="clear" w:color="auto" w:fill="FFFFFF"/>
          <w:lang w:eastAsia="en-US" w:bidi="ar-SA"/>
        </w:rPr>
        <w:t xml:space="preserve"> dla </w:t>
      </w:r>
      <w:r>
        <w:rPr>
          <w:color w:val="000000"/>
          <w:szCs w:val="20"/>
          <w:shd w:val="clear" w:color="auto" w:fill="FFFFFF"/>
          <w:lang w:val="en-US" w:eastAsia="en-US" w:bidi="ar-SA"/>
        </w:rPr>
        <w:t>placówk</w:t>
      </w:r>
      <w:r>
        <w:rPr>
          <w:color w:val="000000"/>
          <w:szCs w:val="20"/>
          <w:shd w:val="clear" w:color="auto" w:fill="FFFFFF"/>
          <w:lang w:eastAsia="en-US" w:bidi="ar-SA"/>
        </w:rPr>
        <w:t>i</w:t>
      </w:r>
      <w:r>
        <w:rPr>
          <w:color w:val="000000"/>
          <w:szCs w:val="20"/>
          <w:shd w:val="clear" w:color="auto" w:fill="FFFFFF"/>
          <w:lang w:val="en-US" w:eastAsia="en-US" w:bidi="ar-SA"/>
        </w:rPr>
        <w:t xml:space="preserve"> przy al. Piłsudskiego 157</w:t>
      </w:r>
      <w:bookmarkEnd w:id="14"/>
      <w:r>
        <w:rPr>
          <w:color w:val="000000"/>
          <w:szCs w:val="20"/>
          <w:shd w:val="clear" w:color="auto" w:fill="FFFFFF"/>
          <w:lang w:val="en-US" w:eastAsia="en-US" w:bidi="ar-SA"/>
        </w:rPr>
        <w:t xml:space="preserve"> – k</w:t>
      </w:r>
      <w:r>
        <w:rPr>
          <w:color w:val="000000"/>
          <w:szCs w:val="20"/>
          <w:shd w:val="clear" w:color="auto" w:fill="FFFFFF"/>
          <w:lang w:eastAsia="en-US" w:bidi="ar-SA"/>
        </w:rPr>
        <w:t>o</w:t>
      </w:r>
      <w:r>
        <w:rPr>
          <w:color w:val="000000"/>
          <w:szCs w:val="20"/>
          <w:shd w:val="clear" w:color="auto" w:fill="FFFFFF"/>
          <w:lang w:val="en-US" w:eastAsia="en-US" w:bidi="ar-SA"/>
        </w:rPr>
        <w:t xml:space="preserve">szt 20.000,00 zł </w:t>
      </w:r>
      <w:r>
        <w:rPr>
          <w:color w:val="000000"/>
          <w:szCs w:val="20"/>
          <w:shd w:val="clear" w:color="auto" w:fill="FFFFFF"/>
          <w:lang w:eastAsia="en-US" w:bidi="ar-SA"/>
        </w:rPr>
        <w:t>(</w:t>
      </w:r>
      <w:r>
        <w:rPr>
          <w:color w:val="000000"/>
          <w:szCs w:val="20"/>
          <w:shd w:val="clear" w:color="auto" w:fill="FFFFFF"/>
          <w:lang w:val="en-US" w:eastAsia="en-US" w:bidi="ar-SA"/>
        </w:rPr>
        <w:t>środki własne</w:t>
      </w:r>
      <w:r>
        <w:rPr>
          <w:color w:val="000000"/>
          <w:szCs w:val="20"/>
          <w:shd w:val="clear" w:color="auto" w:fill="FFFFFF"/>
          <w:lang w:eastAsia="en-US" w:bidi="ar-SA"/>
        </w:rPr>
        <w:t>)</w:t>
      </w:r>
      <w:r>
        <w:rPr>
          <w:color w:val="000000"/>
          <w:szCs w:val="20"/>
          <w:shd w:val="clear" w:color="auto" w:fill="FFFFFF"/>
          <w:lang w:val="en-US" w:eastAsia="en-US" w:bidi="ar-SA"/>
        </w:rPr>
        <w:t xml:space="preserve"> - aparat będzie służył do przeprowadzania fizjoterapeutycznych zabiegów leczniczych wykorzystujących pole magnetyczne</w:t>
      </w:r>
      <w:r>
        <w:rPr>
          <w:color w:val="000000"/>
          <w:szCs w:val="20"/>
          <w:shd w:val="clear" w:color="auto" w:fill="FFFFFF"/>
          <w:lang w:eastAsia="en-US" w:bidi="ar-SA"/>
        </w:rPr>
        <w:t>,</w:t>
      </w:r>
    </w:p>
    <w:p w:rsidR="00B91C8A" w:rsidRDefault="004E7132">
      <w:pPr>
        <w:numPr>
          <w:ilvl w:val="0"/>
          <w:numId w:val="34"/>
        </w:numPr>
        <w:spacing w:after="160" w:line="259"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eastAsia="en-US" w:bidi="ar-SA"/>
        </w:rPr>
        <w:t>wykonanie instalacji klimatyzacji w placówce przy al. Piłsudskiego 157 – koszt 110.000,00 zł (środki własne), instalacja zostanie wykonana w części</w:t>
      </w:r>
      <w:r>
        <w:rPr>
          <w:szCs w:val="20"/>
          <w:lang w:val="en-US" w:eastAsia="en-US" w:bidi="en-US"/>
        </w:rPr>
        <w:t xml:space="preserve"> administracyjnej budynku oraz w </w:t>
      </w:r>
      <w:r>
        <w:rPr>
          <w:color w:val="000000"/>
          <w:szCs w:val="20"/>
          <w:shd w:val="clear" w:color="auto" w:fill="FFFFFF"/>
          <w:lang w:val="en-US" w:eastAsia="en-US" w:bidi="ar-SA"/>
        </w:rPr>
        <w:t>gabinecie okulistycznym dla dzieci</w:t>
      </w:r>
      <w:r>
        <w:rPr>
          <w:color w:val="000000"/>
          <w:szCs w:val="20"/>
          <w:shd w:val="clear" w:color="auto" w:fill="FFFFFF"/>
          <w:lang w:eastAsia="en-US" w:bidi="ar-SA"/>
        </w:rPr>
        <w:t>,</w:t>
      </w:r>
    </w:p>
    <w:p w:rsidR="00B91C8A" w:rsidRDefault="004E7132">
      <w:pPr>
        <w:numPr>
          <w:ilvl w:val="0"/>
          <w:numId w:val="34"/>
        </w:numPr>
        <w:spacing w:after="160" w:line="259" w:lineRule="auto"/>
        <w:ind w:left="426" w:hanging="426"/>
        <w:contextualSpacing/>
        <w:jc w:val="both"/>
        <w:rPr>
          <w:color w:val="000000"/>
          <w:szCs w:val="20"/>
          <w:shd w:val="clear" w:color="auto" w:fill="FFFFFF"/>
          <w:lang w:val="en-US" w:eastAsia="en-US" w:bidi="ar-SA"/>
        </w:rPr>
      </w:pPr>
      <w:r>
        <w:rPr>
          <w:color w:val="000000"/>
          <w:szCs w:val="20"/>
          <w:shd w:val="clear" w:color="auto" w:fill="FFFFFF"/>
          <w:lang w:eastAsia="en-US" w:bidi="ar-SA"/>
        </w:rPr>
        <w:t>zakup sprzętu komputerowego, urządzeń technicznych i wyposażenia – koszt 120.000,00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budowa obiektu ochrony zdrowia POZ zlokalizowanego w Łodzi przy ul. Jugosłowiańskiej – koszt 3.000.000,00 zł (środki własne); powierzchnia budynku ok. 240 m</w:t>
      </w:r>
      <w:r>
        <w:rPr>
          <w:color w:val="000000"/>
          <w:szCs w:val="20"/>
          <w:shd w:val="clear" w:color="auto" w:fill="FFFFFF"/>
          <w:vertAlign w:val="superscript"/>
          <w:lang w:eastAsia="en-US" w:bidi="ar-SA"/>
        </w:rPr>
        <w:t>2</w:t>
      </w:r>
      <w:r>
        <w:rPr>
          <w:color w:val="000000"/>
          <w:szCs w:val="20"/>
          <w:shd w:val="clear" w:color="auto" w:fill="FFFFFF"/>
          <w:lang w:eastAsia="en-US" w:bidi="ar-SA"/>
        </w:rPr>
        <w:t>. W budynku planowane są m.in. cztery gabinety lekarskie, dwa gabinety zabiegowe oraz niezbędne funkcje dodatkowe w postaci pomieszczeń socjalno–biurowych,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kolimatora z filtrami – koszt 18.360,00 zł (środki własne) - będzie on służył do wykonywania badań rtg dzieci,</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aparatu usg – koszt 30.000,00 zł (środki własne); wykonywane będą badania USG w czasie wizyt pacjentów w Poradni POZ, a także wizyt domowych,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wózka inwalidzkiego dla osoby dorosłej – koszt 4.500,00 zł (środki własne), wózek inwalidzki wykorzystywany będzie w razie konieczności w celu przetransportowania pacjenta POZ,</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fantoma do nauki samobadania piersi – kwota 4.000,00 zł (środki własne), który wykorzystywany będzie podczas edukacji pacjentek POZ w zakresie profilaktyki zdrowotnej - samobadania piersi,</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 xml:space="preserve">zakup koncentratora tlenu – kwota 3.510,00 zł (środki własne) - wykorzystywany będzie </w:t>
      </w:r>
      <w:r>
        <w:rPr>
          <w:color w:val="000000"/>
          <w:szCs w:val="20"/>
          <w:shd w:val="clear" w:color="auto" w:fill="FFFFFF"/>
          <w:lang w:eastAsia="en-US" w:bidi="ar-SA"/>
        </w:rPr>
        <w:br/>
        <w:t>w przypadku pacjenta z niską saturacją krwi,</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wagi z analizatorem masy ciała (2 szt.) – koszt 2.800,00 zł (środki własne), waga wykorzystywana będzie podczas pomiaru wagi ciała oraz poszczególnych jego składników wśród pacjentów POZ,</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lodówki z monitoringiem – koszt 12.000,00 zł (środki własne), sprzęt konieczny do przechowywania szczepionek,</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e-stetoskopów (3 szt.) – koszt 6.000,00 zł (środki własne), które będą dawały możliwość osłuchiwania pacjentów poradni POZ wraz z bezpośrednią analizą komputerową danych,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detektora przepływu Doppler – koszt 3.000,00 zł (środki własne), który będzie umożliwiał diagnostykę naczyń szyjnych, kończyn dolnych i górnych,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bilirubinometra – koszt 8.000,00 zł (środki własne) do pomiaru bilirubiny przez skórę, bezinwazyjny miernik żółtaczki wykorzystywany przede wszystkim podczas wizyt u niemowląt,</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elektronicznej tablicy do celów badań okulistycznych – koszt 3.000,00 (środki własne) - będzie dawała możliwość podstawowego badania ostrości widzenia podczas wizyty w poradni POZ,</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dermatoskopu – koszt 1.5000,00 zł (środki własne) do badań zmian skórnych u pacjentów poradni POZ podczas wizyty u lekarza,</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lastRenderedPageBreak/>
        <w:t xml:space="preserve">zakup kozetki lekarskiej (3szt.) – koszt 2.400,00 zł  (środki własne) do badania pacjentów </w:t>
      </w:r>
      <w:r>
        <w:rPr>
          <w:color w:val="000000"/>
          <w:szCs w:val="20"/>
          <w:shd w:val="clear" w:color="auto" w:fill="FFFFFF"/>
          <w:lang w:eastAsia="en-US" w:bidi="ar-SA"/>
        </w:rPr>
        <w:br/>
        <w:t>w gabinetach lekarskich,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stołu do badania niemowląt i małych dzieci – koszt 2.600,00 zł (środki własne) podczas wizyt bilansowych oraz lekarskich,</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serwera backupowego wraz z oprogramowaniem, zestawów komputerowych, serwera do archiwizacji danych koszt 145.640,00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modernizacja pomieszczeń POZ przy al. Piłsudskiego 157 - koszt 279.000,00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aparatu do elektroterapii - koszt 5.700,00 zł (środki własne -  będzie wykorzystywany na fizykoterapii (lecznicze działanie prądów),</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lamp solux (2 szt.) – koszt 7.200,00 zł (środki własne) wykorzystywane w czasie leczenia zmian skórnych (dermatologia) oraz do nagrzewania ciała (ośrodek dzieci – fizjoterapia),</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2 kanałowego aparatu do elektroterapii – koszt 6.500,00 zł (środki własne) wykorzystanego do leczenia prądami (fizjoterapia),</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aparatu do elektrochirurgii – koszt 4.7000,00 zł (środki własne) wykorzystanego do leczenia zmian chorobowych elektrokoagulacją (ginekologia),</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podestu do wykonywania zdjęć RTG – koszt 16.500,00 zł (środki własne) wykorzystywanego do wykonywania zdjęć RTG ortopedycznych u małych dzieci.</w:t>
      </w:r>
      <w:bookmarkEnd w:id="15"/>
    </w:p>
    <w:p w:rsidR="00B91C8A" w:rsidRDefault="004E7132">
      <w:pPr>
        <w:spacing w:after="160" w:line="276" w:lineRule="auto"/>
        <w:contextualSpacing/>
        <w:jc w:val="both"/>
        <w:rPr>
          <w:szCs w:val="20"/>
          <w:lang w:eastAsia="en-US" w:bidi="en-US"/>
        </w:rPr>
      </w:pPr>
      <w:r>
        <w:rPr>
          <w:szCs w:val="20"/>
          <w:lang w:eastAsia="en-US" w:bidi="en-US"/>
        </w:rPr>
        <w:t>Na rok 2026 jednostka zaplanowała:</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budowę (dokończenie) obiektu ochrony zdrowia POZ przy ulicy Jugosłowiańskiej; koszt inwestycji – około  3.000.000,00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sprzętu komputerowego - koszt 60. 000,00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sprzętu medycznego – koszt 160.000,00 zł (środki własne).</w:t>
      </w:r>
    </w:p>
    <w:p w:rsidR="00B91C8A" w:rsidRDefault="004E7132">
      <w:pPr>
        <w:spacing w:after="160" w:line="276" w:lineRule="auto"/>
        <w:contextualSpacing/>
        <w:jc w:val="both"/>
        <w:rPr>
          <w:szCs w:val="20"/>
          <w:lang w:eastAsia="en-US" w:bidi="en-US"/>
        </w:rPr>
      </w:pPr>
      <w:r>
        <w:rPr>
          <w:szCs w:val="20"/>
          <w:lang w:eastAsia="en-US" w:bidi="en-US"/>
        </w:rPr>
        <w:t xml:space="preserve">Na rok 2027 jednostka zaplanowała: </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sprzętu komputerowego – koszt 60 000,00 zł (środki własne),</w:t>
      </w:r>
    </w:p>
    <w:p w:rsidR="00B91C8A" w:rsidRDefault="004E7132">
      <w:pPr>
        <w:numPr>
          <w:ilvl w:val="0"/>
          <w:numId w:val="34"/>
        </w:numPr>
        <w:spacing w:after="160" w:line="259" w:lineRule="auto"/>
        <w:ind w:left="426" w:hanging="426"/>
        <w:contextualSpacing/>
        <w:jc w:val="both"/>
        <w:rPr>
          <w:color w:val="000000"/>
          <w:szCs w:val="20"/>
          <w:shd w:val="clear" w:color="auto" w:fill="FFFFFF"/>
          <w:lang w:eastAsia="en-US" w:bidi="ar-SA"/>
        </w:rPr>
      </w:pPr>
      <w:r>
        <w:rPr>
          <w:color w:val="000000"/>
          <w:szCs w:val="20"/>
          <w:shd w:val="clear" w:color="auto" w:fill="FFFFFF"/>
          <w:lang w:eastAsia="en-US" w:bidi="ar-SA"/>
        </w:rPr>
        <w:t>zakup sprzętu medycznego – koszt 190.000,00 zł (środki własne).</w:t>
      </w:r>
    </w:p>
    <w:p w:rsidR="00B91C8A" w:rsidRDefault="004E7132">
      <w:pPr>
        <w:spacing w:before="240" w:after="200" w:line="276" w:lineRule="auto"/>
        <w:jc w:val="left"/>
        <w:rPr>
          <w:b/>
          <w:color w:val="000000"/>
          <w:szCs w:val="20"/>
          <w:shd w:val="clear" w:color="auto" w:fill="FFFFFF"/>
          <w:lang w:eastAsia="en-US" w:bidi="ar-SA"/>
        </w:rPr>
      </w:pPr>
      <w:r>
        <w:rPr>
          <w:b/>
          <w:color w:val="000000"/>
          <w:szCs w:val="20"/>
          <w:shd w:val="clear" w:color="auto" w:fill="FFFFFF"/>
          <w:lang w:eastAsia="en-US" w:bidi="ar-SA"/>
        </w:rPr>
        <w:t xml:space="preserve">Informacja o istotnych zdarzeniach dla MCM „Widzew” w Łodzi – prognoza na lata </w:t>
      </w:r>
      <w:r>
        <w:rPr>
          <w:b/>
          <w:color w:val="000000"/>
          <w:szCs w:val="20"/>
          <w:shd w:val="clear" w:color="auto" w:fill="FFFFFF"/>
          <w:lang w:eastAsia="en-US" w:bidi="ar-SA"/>
        </w:rPr>
        <w:br/>
        <w:t>2025-2027</w:t>
      </w:r>
    </w:p>
    <w:p w:rsidR="00B91C8A" w:rsidRDefault="004E7132">
      <w:pPr>
        <w:spacing w:line="276" w:lineRule="auto"/>
        <w:jc w:val="both"/>
        <w:rPr>
          <w:color w:val="000000"/>
          <w:szCs w:val="20"/>
          <w:shd w:val="clear" w:color="auto" w:fill="FFFFFF"/>
          <w:lang w:eastAsia="en-US" w:bidi="ar-SA"/>
        </w:rPr>
      </w:pPr>
      <w:r>
        <w:rPr>
          <w:color w:val="000000"/>
          <w:szCs w:val="20"/>
          <w:shd w:val="clear" w:color="auto" w:fill="FFFFFF"/>
          <w:lang w:eastAsia="en-US" w:bidi="ar-SA"/>
        </w:rPr>
        <w:t>Prognoza na lata 2025-2027 MCM „Widzew” w Łodzi zakłada utrzymanie działalności w zakresie roku 2024 oraz rozpoczęcie w 2025 roku działania inwestycyjnego budowy obiektu ochrony zdrowia POZ przy ul. Jugosłowiańskiej. Istotnymi zdarzeniami wpływającymi na funkcjonowanie oraz prognozę dalszej działalności MCM „Widzew” w Łodzi są:</w:t>
      </w:r>
    </w:p>
    <w:p w:rsidR="00B91C8A" w:rsidRDefault="004E7132">
      <w:pPr>
        <w:numPr>
          <w:ilvl w:val="0"/>
          <w:numId w:val="35"/>
        </w:numPr>
        <w:spacing w:line="276" w:lineRule="auto"/>
        <w:jc w:val="both"/>
        <w:rPr>
          <w:color w:val="000000"/>
          <w:szCs w:val="20"/>
          <w:shd w:val="clear" w:color="auto" w:fill="FFFFFF"/>
          <w:lang w:eastAsia="en-US" w:bidi="ar-SA"/>
        </w:rPr>
      </w:pPr>
      <w:r>
        <w:rPr>
          <w:color w:val="000000"/>
          <w:szCs w:val="20"/>
          <w:shd w:val="clear" w:color="auto" w:fill="FFFFFF"/>
          <w:lang w:eastAsia="en-US" w:bidi="ar-SA"/>
        </w:rPr>
        <w:t>niepewność, co do dalszego uzyskania kontraktu na świadczenia finansowane przez NFZ oraz warunków jego zawarcia; jednostka będzie starała się o zwiększenie kontraktu na specjalistkę i rehabilitację,</w:t>
      </w:r>
    </w:p>
    <w:p w:rsidR="00B91C8A" w:rsidRDefault="004E7132">
      <w:pPr>
        <w:numPr>
          <w:ilvl w:val="0"/>
          <w:numId w:val="35"/>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ustawa regulując</w:t>
      </w:r>
      <w:r>
        <w:rPr>
          <w:color w:val="000000"/>
          <w:szCs w:val="20"/>
          <w:shd w:val="clear" w:color="auto" w:fill="FFFFFF"/>
          <w:lang w:eastAsia="en-US" w:bidi="ar-SA"/>
        </w:rPr>
        <w:t>a</w:t>
      </w:r>
      <w:r>
        <w:rPr>
          <w:color w:val="000000"/>
          <w:szCs w:val="20"/>
          <w:shd w:val="clear" w:color="auto" w:fill="FFFFFF"/>
          <w:lang w:val="en-US" w:eastAsia="en-US" w:bidi="ar-SA"/>
        </w:rPr>
        <w:t xml:space="preserve"> sposób ustalania najniższego wynagrodzenia pracowników służby zdrowia, obliguj</w:t>
      </w:r>
      <w:r>
        <w:rPr>
          <w:color w:val="000000"/>
          <w:szCs w:val="20"/>
          <w:shd w:val="clear" w:color="auto" w:fill="FFFFFF"/>
          <w:lang w:eastAsia="en-US" w:bidi="ar-SA"/>
        </w:rPr>
        <w:t>ąca</w:t>
      </w:r>
      <w:r>
        <w:rPr>
          <w:color w:val="000000"/>
          <w:szCs w:val="20"/>
          <w:shd w:val="clear" w:color="auto" w:fill="FFFFFF"/>
          <w:lang w:val="en-US" w:eastAsia="en-US" w:bidi="ar-SA"/>
        </w:rPr>
        <w:t xml:space="preserve"> </w:t>
      </w:r>
      <w:r>
        <w:rPr>
          <w:color w:val="000000"/>
          <w:szCs w:val="20"/>
          <w:shd w:val="clear" w:color="auto" w:fill="FFFFFF"/>
          <w:lang w:eastAsia="en-US" w:bidi="ar-SA"/>
        </w:rPr>
        <w:t>j</w:t>
      </w:r>
      <w:r>
        <w:rPr>
          <w:color w:val="000000"/>
          <w:szCs w:val="20"/>
          <w:shd w:val="clear" w:color="auto" w:fill="FFFFFF"/>
          <w:lang w:val="en-US" w:eastAsia="en-US" w:bidi="ar-SA"/>
        </w:rPr>
        <w:t>ednostkę do zwiększenia wynagrodzeń</w:t>
      </w:r>
      <w:r>
        <w:rPr>
          <w:color w:val="000000"/>
          <w:szCs w:val="20"/>
          <w:shd w:val="clear" w:color="auto" w:fill="FFFFFF"/>
          <w:lang w:eastAsia="en-US" w:bidi="ar-SA"/>
        </w:rPr>
        <w:t>;</w:t>
      </w:r>
      <w:r>
        <w:rPr>
          <w:color w:val="000000"/>
          <w:szCs w:val="20"/>
          <w:shd w:val="clear" w:color="auto" w:fill="FFFFFF"/>
          <w:lang w:val="en-US" w:eastAsia="en-US" w:bidi="ar-SA"/>
        </w:rPr>
        <w:t xml:space="preserve"> </w:t>
      </w:r>
      <w:r>
        <w:rPr>
          <w:color w:val="000000"/>
          <w:szCs w:val="20"/>
          <w:shd w:val="clear" w:color="auto" w:fill="FFFFFF"/>
          <w:lang w:eastAsia="en-US" w:bidi="ar-SA"/>
        </w:rPr>
        <w:t>niepewność</w:t>
      </w:r>
      <w:r>
        <w:rPr>
          <w:color w:val="000000"/>
          <w:szCs w:val="20"/>
          <w:shd w:val="clear" w:color="auto" w:fill="FFFFFF"/>
          <w:lang w:val="en-US" w:eastAsia="en-US" w:bidi="ar-SA"/>
        </w:rPr>
        <w:t xml:space="preserve"> w jakiej wysokości NFZ będzie finansował wzrosty wynagrodzeń</w:t>
      </w:r>
      <w:r>
        <w:rPr>
          <w:color w:val="000000"/>
          <w:szCs w:val="20"/>
          <w:shd w:val="clear" w:color="auto" w:fill="FFFFFF"/>
          <w:lang w:eastAsia="en-US" w:bidi="ar-SA"/>
        </w:rPr>
        <w:t>,</w:t>
      </w:r>
    </w:p>
    <w:p w:rsidR="00B91C8A" w:rsidRDefault="004E7132">
      <w:pPr>
        <w:numPr>
          <w:ilvl w:val="0"/>
          <w:numId w:val="35"/>
        </w:numPr>
        <w:spacing w:after="160" w:line="259" w:lineRule="auto"/>
        <w:contextualSpacing/>
        <w:jc w:val="both"/>
        <w:rPr>
          <w:color w:val="000000"/>
          <w:szCs w:val="20"/>
          <w:shd w:val="clear" w:color="auto" w:fill="FFFFFF"/>
          <w:lang w:val="en-US" w:eastAsia="en-US" w:bidi="ar-SA"/>
        </w:rPr>
      </w:pPr>
      <w:r>
        <w:rPr>
          <w:color w:val="000000"/>
          <w:szCs w:val="20"/>
          <w:shd w:val="clear" w:color="auto" w:fill="FFFFFF"/>
          <w:lang w:val="en-US" w:eastAsia="en-US" w:bidi="ar-SA"/>
        </w:rPr>
        <w:t xml:space="preserve"> jednostka podobnie jak w 2024 roku, </w:t>
      </w:r>
      <w:r>
        <w:rPr>
          <w:color w:val="000000"/>
          <w:szCs w:val="20"/>
          <w:shd w:val="clear" w:color="auto" w:fill="FFFFFF"/>
          <w:lang w:eastAsia="en-US" w:bidi="ar-SA"/>
        </w:rPr>
        <w:t>zakłada</w:t>
      </w:r>
      <w:r>
        <w:rPr>
          <w:color w:val="000000"/>
          <w:szCs w:val="20"/>
          <w:shd w:val="clear" w:color="auto" w:fill="FFFFFF"/>
          <w:lang w:val="en-US" w:eastAsia="en-US" w:bidi="ar-SA"/>
        </w:rPr>
        <w:t xml:space="preserve"> </w:t>
      </w:r>
      <w:r>
        <w:rPr>
          <w:color w:val="000000"/>
          <w:szCs w:val="20"/>
          <w:shd w:val="clear" w:color="auto" w:fill="FFFFFF"/>
          <w:lang w:eastAsia="en-US" w:bidi="ar-SA"/>
        </w:rPr>
        <w:t>problemy</w:t>
      </w:r>
      <w:r>
        <w:rPr>
          <w:color w:val="000000"/>
          <w:szCs w:val="20"/>
          <w:shd w:val="clear" w:color="auto" w:fill="FFFFFF"/>
          <w:lang w:val="en-US" w:eastAsia="en-US" w:bidi="ar-SA"/>
        </w:rPr>
        <w:t xml:space="preserve"> z zabezpieczeniem kadry medycznej. Część zatrudnionych pracowników medycznych (lekarze, pielęgniarki, położne) to emeryci, a odejście ich z pracy może skutkować problemem w znalezieniu nowego personelu. Postępujące starzenie polskiego społeczeństwa ma wpływ na wzrost zapotrzebowania na usługi zdrowotne</w:t>
      </w:r>
      <w:r>
        <w:rPr>
          <w:color w:val="000000"/>
          <w:szCs w:val="20"/>
          <w:shd w:val="clear" w:color="auto" w:fill="FFFFFF"/>
          <w:lang w:eastAsia="en-US" w:bidi="ar-SA"/>
        </w:rPr>
        <w:t>.</w:t>
      </w:r>
    </w:p>
    <w:p w:rsidR="00B91C8A" w:rsidRDefault="00B91C8A">
      <w:pPr>
        <w:spacing w:before="240" w:after="200" w:line="276" w:lineRule="auto"/>
        <w:jc w:val="both"/>
        <w:rPr>
          <w:b/>
          <w:color w:val="000000"/>
          <w:szCs w:val="20"/>
          <w:shd w:val="clear" w:color="auto" w:fill="FFFFFF"/>
          <w:lang w:eastAsia="en-US" w:bidi="ar-SA"/>
        </w:rPr>
      </w:pPr>
    </w:p>
    <w:p w:rsidR="00B91C8A" w:rsidRDefault="004E7132">
      <w:pPr>
        <w:spacing w:before="240" w:after="200" w:line="276" w:lineRule="auto"/>
        <w:jc w:val="both"/>
        <w:rPr>
          <w:b/>
          <w:color w:val="000000"/>
          <w:szCs w:val="20"/>
          <w:shd w:val="clear" w:color="auto" w:fill="FFFFFF"/>
          <w:lang w:eastAsia="en-US" w:bidi="ar-SA"/>
        </w:rPr>
      </w:pPr>
      <w:r>
        <w:rPr>
          <w:b/>
          <w:color w:val="000000"/>
          <w:szCs w:val="20"/>
          <w:shd w:val="clear" w:color="auto" w:fill="FFFFFF"/>
          <w:lang w:eastAsia="en-US" w:bidi="ar-SA"/>
        </w:rPr>
        <w:t>Podsumowanie</w:t>
      </w:r>
    </w:p>
    <w:p w:rsidR="00B91C8A" w:rsidRDefault="004E7132">
      <w:pPr>
        <w:spacing w:before="240" w:after="200" w:line="276" w:lineRule="auto"/>
        <w:jc w:val="both"/>
        <w:rPr>
          <w:b/>
          <w:color w:val="000000"/>
          <w:szCs w:val="20"/>
          <w:shd w:val="clear" w:color="auto" w:fill="FFFFFF"/>
          <w:lang w:eastAsia="en-US" w:bidi="ar-SA"/>
        </w:rPr>
      </w:pPr>
      <w:r>
        <w:rPr>
          <w:color w:val="000000"/>
          <w:szCs w:val="20"/>
          <w:shd w:val="clear" w:color="auto" w:fill="FFFFFF"/>
          <w:lang w:eastAsia="en-US" w:bidi="ar-SA"/>
        </w:rPr>
        <w:t>Na podstawie raportu o sytuacji ekonomiczno-finansowej MCM „Widzew” w Łodzi za 2024 rok, funkcjonującego jako samodzielny publiczny zakład opieki zdrowotnej należy stwierdzić, że:</w:t>
      </w:r>
    </w:p>
    <w:p w:rsidR="00B91C8A" w:rsidRDefault="004E7132">
      <w:pPr>
        <w:numPr>
          <w:ilvl w:val="0"/>
          <w:numId w:val="36"/>
        </w:numPr>
        <w:spacing w:before="240" w:line="276" w:lineRule="auto"/>
        <w:jc w:val="both"/>
        <w:rPr>
          <w:color w:val="000000"/>
          <w:szCs w:val="20"/>
          <w:shd w:val="clear" w:color="auto" w:fill="FFFFFF"/>
          <w:lang w:eastAsia="en-US" w:bidi="ar-SA"/>
        </w:rPr>
      </w:pPr>
      <w:r>
        <w:rPr>
          <w:color w:val="000000"/>
          <w:szCs w:val="20"/>
          <w:shd w:val="clear" w:color="auto" w:fill="FFFFFF"/>
          <w:lang w:eastAsia="en-US" w:bidi="ar-SA"/>
        </w:rPr>
        <w:t>ocena dokonana na podstawie wskaźników ekonomiczno-finansowych 2024 roku oraz prognozy na lata 2025-2027 jest pozytywna;</w:t>
      </w:r>
    </w:p>
    <w:p w:rsidR="00B91C8A" w:rsidRDefault="004E7132">
      <w:pPr>
        <w:numPr>
          <w:ilvl w:val="0"/>
          <w:numId w:val="36"/>
        </w:numPr>
        <w:spacing w:line="276" w:lineRule="auto"/>
        <w:jc w:val="both"/>
        <w:rPr>
          <w:color w:val="000000"/>
          <w:szCs w:val="20"/>
          <w:shd w:val="clear" w:color="auto" w:fill="FFFFFF"/>
          <w:lang w:eastAsia="en-US" w:bidi="ar-SA"/>
        </w:rPr>
      </w:pPr>
      <w:r>
        <w:rPr>
          <w:color w:val="000000"/>
          <w:szCs w:val="20"/>
          <w:shd w:val="clear" w:color="auto" w:fill="FFFFFF"/>
          <w:lang w:eastAsia="en-US" w:bidi="ar-SA"/>
        </w:rPr>
        <w:t xml:space="preserve">podmiot posiada stabilną sytuację finansową oraz nie wykazuje, a także nie przewiduje problemów z płynnością oraz rotacją zobowiązań i należności; </w:t>
      </w:r>
    </w:p>
    <w:p w:rsidR="00B91C8A" w:rsidRDefault="004E7132">
      <w:pPr>
        <w:numPr>
          <w:ilvl w:val="0"/>
          <w:numId w:val="36"/>
        </w:numPr>
        <w:spacing w:line="276" w:lineRule="auto"/>
        <w:jc w:val="both"/>
        <w:rPr>
          <w:color w:val="000000"/>
          <w:szCs w:val="20"/>
          <w:shd w:val="clear" w:color="auto" w:fill="FFFFFF"/>
          <w:lang w:eastAsia="en-US" w:bidi="ar-SA"/>
        </w:rPr>
      </w:pPr>
      <w:r>
        <w:rPr>
          <w:color w:val="000000"/>
          <w:szCs w:val="20"/>
          <w:shd w:val="clear" w:color="auto" w:fill="FFFFFF"/>
          <w:lang w:eastAsia="en-US" w:bidi="ar-SA"/>
        </w:rPr>
        <w:t>przedstawiona w raporcie ostrożna analiza wskaźników dla prognozowanego okresu jest rezultatem niepewności w zakresie wielkości umów na świadczenia medyczne z NFZ.</w:t>
      </w:r>
    </w:p>
    <w:p w:rsidR="00B91C8A" w:rsidRDefault="004E7132">
      <w:pPr>
        <w:spacing w:before="240" w:line="276" w:lineRule="auto"/>
        <w:jc w:val="both"/>
        <w:rPr>
          <w:color w:val="000000"/>
          <w:szCs w:val="20"/>
          <w:u w:val="single"/>
          <w:shd w:val="clear" w:color="auto" w:fill="FFFFFF"/>
          <w:lang w:eastAsia="en-US" w:bidi="ar-SA"/>
        </w:rPr>
      </w:pPr>
      <w:r>
        <w:rPr>
          <w:color w:val="000000"/>
          <w:szCs w:val="20"/>
          <w:shd w:val="clear" w:color="auto" w:fill="FFFFFF"/>
          <w:lang w:eastAsia="en-US" w:bidi="ar-SA"/>
        </w:rPr>
        <w:t>W związku z powyższym, dokonuje się pozytywnej oceny sytuacji ekonomiczno-finansowej MCM „Widzew” w Łodzi na podstawie przedstawionego przez jednostkę raportu o sytuacji ekonomiczno-finansowej za 2024 rok.</w:t>
      </w:r>
    </w:p>
    <w:p w:rsidR="00B91C8A" w:rsidRDefault="004E7132">
      <w:pPr>
        <w:spacing w:before="120" w:after="120"/>
        <w:ind w:left="283" w:firstLine="227"/>
        <w:jc w:val="both"/>
        <w:rPr>
          <w:color w:val="000000"/>
          <w:szCs w:val="20"/>
          <w:u w:color="000000"/>
        </w:rPr>
        <w:sectPr w:rsidR="00B91C8A">
          <w:footerReference w:type="default" r:id="rId8"/>
          <w:endnotePr>
            <w:numFmt w:val="decimal"/>
          </w:endnotePr>
          <w:pgSz w:w="11906" w:h="16838"/>
          <w:pgMar w:top="1417" w:right="1417" w:bottom="1417" w:left="1417" w:header="708" w:footer="708" w:gutter="0"/>
          <w:pgNumType w:start="1"/>
          <w:cols w:space="708"/>
        </w:sectPr>
      </w:pPr>
      <w:r>
        <w:rPr>
          <w:color w:val="000000"/>
          <w:szCs w:val="20"/>
          <w:u w:color="000000"/>
        </w:rPr>
        <w:fldChar w:fldCharType="begin"/>
      </w:r>
      <w:r>
        <w:rPr>
          <w:color w:val="000000"/>
          <w:szCs w:val="20"/>
          <w:u w:color="000000"/>
        </w:rPr>
        <w:fldChar w:fldCharType="end"/>
      </w:r>
    </w:p>
    <w:p w:rsidR="00B91C8A" w:rsidRDefault="00B91C8A">
      <w:pPr>
        <w:rPr>
          <w:szCs w:val="20"/>
        </w:rPr>
      </w:pPr>
    </w:p>
    <w:p w:rsidR="00B91C8A" w:rsidRDefault="004E7132">
      <w:pPr>
        <w:rPr>
          <w:b/>
          <w:szCs w:val="20"/>
        </w:rPr>
      </w:pPr>
      <w:r>
        <w:rPr>
          <w:b/>
          <w:szCs w:val="20"/>
        </w:rPr>
        <w:t>UZASADNIENIE</w:t>
      </w:r>
    </w:p>
    <w:p w:rsidR="00B91C8A" w:rsidRDefault="00B91C8A">
      <w:pPr>
        <w:rPr>
          <w:szCs w:val="20"/>
        </w:rPr>
      </w:pPr>
    </w:p>
    <w:p w:rsidR="00B91C8A" w:rsidRDefault="004E7132">
      <w:pPr>
        <w:ind w:firstLine="567"/>
        <w:jc w:val="both"/>
        <w:rPr>
          <w:szCs w:val="20"/>
        </w:rPr>
      </w:pPr>
      <w:r>
        <w:rPr>
          <w:szCs w:val="20"/>
        </w:rPr>
        <w:t xml:space="preserve">Zgodnie z wymogami art. 53a ustawy </w:t>
      </w:r>
      <w:r>
        <w:rPr>
          <w:color w:val="000000"/>
          <w:szCs w:val="20"/>
          <w:u w:color="000000"/>
        </w:rPr>
        <w:t xml:space="preserve">z dnia 15 kwietnia 2011 r. </w:t>
      </w:r>
      <w:r>
        <w:rPr>
          <w:szCs w:val="20"/>
        </w:rPr>
        <w:t>o działalności leczniczej samodzielny publiczny zakład opieki zdrowotnej o nazwie Miejskie Centrum Medyczne „Widzew” w Łodzi przedstawiło w wymaganym terminie raport o sytuacji ekonomiczno-finansowej przygotowany na podstawie sprawozdania finansowego za poprzedni rok obrotowy zawierający w szczególności analizę sytuacji ekonomiczno-finansowej za poprzedni rok obrotowy, tj. 2024, a także prognozę sytuacji ekonomiczno-finansowej na kolejne trzy lata obrotowe wraz z opisem przyjętych założeń oraz informację o istotnych zdarzeniach mających wpływ na sytuację ekonomiczno-finansową samodzielnego publicznego zakładu opieki zdrowotnej.</w:t>
      </w:r>
    </w:p>
    <w:p w:rsidR="00B91C8A" w:rsidRDefault="004E7132">
      <w:pPr>
        <w:spacing w:before="120" w:after="120"/>
        <w:ind w:firstLine="570"/>
        <w:jc w:val="both"/>
        <w:rPr>
          <w:color w:val="000000"/>
          <w:szCs w:val="20"/>
        </w:rPr>
      </w:pPr>
      <w:r>
        <w:rPr>
          <w:color w:val="000000"/>
          <w:szCs w:val="20"/>
          <w:u w:color="000000"/>
        </w:rPr>
        <w:t xml:space="preserve">Przedmiotowa ocena raportu </w:t>
      </w:r>
      <w:r>
        <w:rPr>
          <w:szCs w:val="20"/>
        </w:rPr>
        <w:t>o sytuacji ekonomiczno-finansowej</w:t>
      </w:r>
      <w:r>
        <w:rPr>
          <w:color w:val="000000"/>
          <w:szCs w:val="20"/>
          <w:u w:color="000000"/>
        </w:rPr>
        <w:t xml:space="preserve"> została przygotowana zgodnie z wymogami  ustawy z dnia 15 kwietnia 2011 r. o działalności leczniczej  przez komórkę organizacyjną sprawującą bezpośredni nadzór nad samodzielnymi publicznymi zakładami opieki zdrowotnej dla których podmiotem tworzącym jest Miasto Łódź, tj. Wydział Zdrowia i Spraw Społecznych w Departamencie Zdrowia, Sportu i Spraw Społecznych Urzędu Miasta Łodzi.</w:t>
      </w:r>
    </w:p>
    <w:p w:rsidR="00B91C8A" w:rsidRDefault="004E7132">
      <w:pPr>
        <w:ind w:firstLine="567"/>
        <w:jc w:val="both"/>
        <w:rPr>
          <w:szCs w:val="20"/>
        </w:rPr>
      </w:pPr>
      <w:r>
        <w:rPr>
          <w:szCs w:val="20"/>
        </w:rPr>
        <w:t xml:space="preserve">Ocena sytuacji ekonomiczno-finansowej jednostki należy do kompetencji Rady Miejskiej w Łodzi, tj. podmiotu tworzącego dla </w:t>
      </w:r>
      <w:r>
        <w:rPr>
          <w:color w:val="000000"/>
          <w:szCs w:val="20"/>
          <w:u w:color="000000"/>
        </w:rPr>
        <w:t xml:space="preserve">Miejskiego Centrum Medycznego </w:t>
      </w:r>
      <w:r>
        <w:rPr>
          <w:szCs w:val="20"/>
        </w:rPr>
        <w:t>„Widzew” w Łodzi, co stanowi przedmiot niniejszego projektu uchwały.</w:t>
      </w:r>
    </w:p>
    <w:p w:rsidR="00B91C8A" w:rsidRDefault="00B91C8A">
      <w:pPr>
        <w:spacing w:before="120" w:after="120"/>
        <w:ind w:left="283" w:firstLine="227"/>
        <w:jc w:val="both"/>
        <w:rPr>
          <w:color w:val="000000"/>
          <w:szCs w:val="20"/>
        </w:rPr>
      </w:pPr>
    </w:p>
    <w:p w:rsidR="00B91C8A" w:rsidRDefault="00B91C8A">
      <w:pPr>
        <w:spacing w:before="120" w:after="120"/>
        <w:ind w:left="283" w:firstLine="227"/>
        <w:jc w:val="both"/>
        <w:rPr>
          <w:color w:val="000000"/>
          <w:szCs w:val="20"/>
          <w:u w:color="000000"/>
        </w:rPr>
      </w:pPr>
    </w:p>
    <w:sectPr w:rsidR="00B91C8A">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76F" w:rsidRDefault="0094076F">
      <w:r>
        <w:separator/>
      </w:r>
    </w:p>
  </w:endnote>
  <w:endnote w:type="continuationSeparator" w:id="0">
    <w:p w:rsidR="0094076F" w:rsidRDefault="0094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B91C8A">
      <w:tc>
        <w:tcPr>
          <w:tcW w:w="6048"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right"/>
            <w:rPr>
              <w:sz w:val="18"/>
            </w:rPr>
          </w:pPr>
          <w:r>
            <w:rPr>
              <w:sz w:val="18"/>
            </w:rPr>
            <w:t xml:space="preserve">Strona </w:t>
          </w:r>
          <w:r>
            <w:rPr>
              <w:sz w:val="18"/>
            </w:rPr>
            <w:fldChar w:fldCharType="begin"/>
          </w:r>
          <w:r>
            <w:rPr>
              <w:sz w:val="18"/>
            </w:rPr>
            <w:instrText>PAGE</w:instrText>
          </w:r>
          <w:r>
            <w:rPr>
              <w:sz w:val="18"/>
            </w:rPr>
            <w:fldChar w:fldCharType="separate"/>
          </w:r>
          <w:r w:rsidR="00B37C46">
            <w:rPr>
              <w:noProof/>
              <w:sz w:val="18"/>
            </w:rPr>
            <w:t>1</w:t>
          </w:r>
          <w:r>
            <w:rPr>
              <w:sz w:val="18"/>
            </w:rPr>
            <w:fldChar w:fldCharType="end"/>
          </w:r>
        </w:p>
      </w:tc>
    </w:tr>
  </w:tbl>
  <w:p w:rsidR="00B91C8A" w:rsidRDefault="00B91C8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B91C8A">
      <w:tc>
        <w:tcPr>
          <w:tcW w:w="6048"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right"/>
            <w:rPr>
              <w:sz w:val="18"/>
            </w:rPr>
          </w:pPr>
          <w:r>
            <w:rPr>
              <w:sz w:val="18"/>
            </w:rPr>
            <w:t xml:space="preserve">Strona </w:t>
          </w:r>
          <w:r>
            <w:rPr>
              <w:sz w:val="18"/>
            </w:rPr>
            <w:fldChar w:fldCharType="begin"/>
          </w:r>
          <w:r>
            <w:rPr>
              <w:sz w:val="18"/>
            </w:rPr>
            <w:instrText>PAGE</w:instrText>
          </w:r>
          <w:r>
            <w:rPr>
              <w:sz w:val="18"/>
            </w:rPr>
            <w:fldChar w:fldCharType="separate"/>
          </w:r>
          <w:r w:rsidR="00B37C46">
            <w:rPr>
              <w:noProof/>
              <w:sz w:val="18"/>
            </w:rPr>
            <w:t>1</w:t>
          </w:r>
          <w:r>
            <w:rPr>
              <w:sz w:val="18"/>
            </w:rPr>
            <w:fldChar w:fldCharType="end"/>
          </w:r>
        </w:p>
      </w:tc>
    </w:tr>
  </w:tbl>
  <w:p w:rsidR="00B91C8A" w:rsidRDefault="00B91C8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3024"/>
    </w:tblGrid>
    <w:tr w:rsidR="00B91C8A">
      <w:tc>
        <w:tcPr>
          <w:tcW w:w="6048"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left"/>
            <w:rPr>
              <w:sz w:val="18"/>
            </w:rPr>
          </w:pPr>
          <w:r>
            <w:rPr>
              <w:sz w:val="18"/>
            </w:rPr>
            <w:t>Projekt</w:t>
          </w:r>
        </w:p>
      </w:tc>
      <w:tc>
        <w:tcPr>
          <w:tcW w:w="3024" w:type="dxa"/>
          <w:tcBorders>
            <w:top w:val="single" w:sz="4" w:space="0" w:color="auto"/>
            <w:left w:val="nil"/>
            <w:bottom w:val="nil"/>
            <w:right w:val="nil"/>
          </w:tcBorders>
          <w:tcMar>
            <w:top w:w="100" w:type="dxa"/>
            <w:left w:w="0" w:type="dxa"/>
            <w:bottom w:w="0" w:type="dxa"/>
            <w:right w:w="0" w:type="dxa"/>
          </w:tcMar>
          <w:hideMark/>
        </w:tcPr>
        <w:p w:rsidR="00B91C8A" w:rsidRDefault="004E7132">
          <w:pPr>
            <w:jc w:val="right"/>
            <w:rPr>
              <w:sz w:val="18"/>
            </w:rPr>
          </w:pPr>
          <w:r>
            <w:rPr>
              <w:sz w:val="18"/>
            </w:rPr>
            <w:t xml:space="preserve">Strona </w:t>
          </w:r>
          <w:r>
            <w:rPr>
              <w:sz w:val="18"/>
            </w:rPr>
            <w:fldChar w:fldCharType="begin"/>
          </w:r>
          <w:r>
            <w:rPr>
              <w:sz w:val="18"/>
            </w:rPr>
            <w:instrText>PAGE</w:instrText>
          </w:r>
          <w:r>
            <w:rPr>
              <w:sz w:val="18"/>
            </w:rPr>
            <w:fldChar w:fldCharType="separate"/>
          </w:r>
          <w:r w:rsidR="00B37C46">
            <w:rPr>
              <w:noProof/>
              <w:sz w:val="18"/>
            </w:rPr>
            <w:t>19</w:t>
          </w:r>
          <w:r>
            <w:rPr>
              <w:sz w:val="18"/>
            </w:rPr>
            <w:fldChar w:fldCharType="end"/>
          </w:r>
        </w:p>
      </w:tc>
    </w:tr>
  </w:tbl>
  <w:p w:rsidR="00B91C8A" w:rsidRDefault="00B91C8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76F" w:rsidRDefault="0094076F">
      <w:r>
        <w:separator/>
      </w:r>
    </w:p>
  </w:footnote>
  <w:footnote w:type="continuationSeparator" w:id="0">
    <w:p w:rsidR="0094076F" w:rsidRDefault="00940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8FB"/>
    <w:multiLevelType w:val="hybridMultilevel"/>
    <w:tmpl w:val="00000000"/>
    <w:lvl w:ilvl="0" w:tplc="9F24D1FE">
      <w:start w:val="1"/>
      <w:numFmt w:val="bullet"/>
      <w:lvlText w:val="-"/>
      <w:lvlJc w:val="left"/>
      <w:pPr>
        <w:ind w:left="360" w:hanging="360"/>
      </w:pPr>
      <w:rPr>
        <w:rFonts w:ascii="Symbol" w:hAnsi="Symbol"/>
      </w:rPr>
    </w:lvl>
    <w:lvl w:ilvl="1" w:tplc="945648E6">
      <w:start w:val="1"/>
      <w:numFmt w:val="bullet"/>
      <w:lvlText w:val="o"/>
      <w:lvlJc w:val="left"/>
      <w:pPr>
        <w:ind w:left="1080" w:hanging="360"/>
      </w:pPr>
      <w:rPr>
        <w:rFonts w:ascii="Courier New" w:hAnsi="Courier New"/>
      </w:rPr>
    </w:lvl>
    <w:lvl w:ilvl="2" w:tplc="2B3AC26A">
      <w:start w:val="1"/>
      <w:numFmt w:val="bullet"/>
      <w:lvlText w:val="§"/>
      <w:lvlJc w:val="left"/>
      <w:pPr>
        <w:ind w:left="1800" w:hanging="360"/>
      </w:pPr>
      <w:rPr>
        <w:rFonts w:ascii="Wingdings" w:hAnsi="Wingdings"/>
      </w:rPr>
    </w:lvl>
    <w:lvl w:ilvl="3" w:tplc="00621528">
      <w:start w:val="1"/>
      <w:numFmt w:val="bullet"/>
      <w:lvlText w:val="·"/>
      <w:lvlJc w:val="left"/>
      <w:pPr>
        <w:ind w:left="2520" w:hanging="360"/>
      </w:pPr>
      <w:rPr>
        <w:rFonts w:ascii="Symbol" w:hAnsi="Symbol"/>
      </w:rPr>
    </w:lvl>
    <w:lvl w:ilvl="4" w:tplc="EF566FD6">
      <w:start w:val="1"/>
      <w:numFmt w:val="bullet"/>
      <w:lvlText w:val="o"/>
      <w:lvlJc w:val="left"/>
      <w:pPr>
        <w:ind w:left="3240" w:hanging="360"/>
      </w:pPr>
      <w:rPr>
        <w:rFonts w:ascii="Courier New" w:hAnsi="Courier New"/>
      </w:rPr>
    </w:lvl>
    <w:lvl w:ilvl="5" w:tplc="CF80E1CC">
      <w:start w:val="1"/>
      <w:numFmt w:val="bullet"/>
      <w:lvlText w:val="§"/>
      <w:lvlJc w:val="left"/>
      <w:pPr>
        <w:ind w:left="3960" w:hanging="360"/>
      </w:pPr>
      <w:rPr>
        <w:rFonts w:ascii="Wingdings" w:hAnsi="Wingdings"/>
      </w:rPr>
    </w:lvl>
    <w:lvl w:ilvl="6" w:tplc="E3F8637A">
      <w:start w:val="1"/>
      <w:numFmt w:val="bullet"/>
      <w:lvlText w:val="·"/>
      <w:lvlJc w:val="left"/>
      <w:pPr>
        <w:ind w:left="4680" w:hanging="360"/>
      </w:pPr>
      <w:rPr>
        <w:rFonts w:ascii="Symbol" w:hAnsi="Symbol"/>
      </w:rPr>
    </w:lvl>
    <w:lvl w:ilvl="7" w:tplc="CA9683C6">
      <w:start w:val="1"/>
      <w:numFmt w:val="bullet"/>
      <w:lvlText w:val="o"/>
      <w:lvlJc w:val="left"/>
      <w:pPr>
        <w:ind w:left="5400" w:hanging="360"/>
      </w:pPr>
      <w:rPr>
        <w:rFonts w:ascii="Courier New" w:hAnsi="Courier New"/>
      </w:rPr>
    </w:lvl>
    <w:lvl w:ilvl="8" w:tplc="D84C52F8">
      <w:start w:val="1"/>
      <w:numFmt w:val="bullet"/>
      <w:lvlText w:val="§"/>
      <w:lvlJc w:val="left"/>
      <w:pPr>
        <w:ind w:left="6120" w:hanging="360"/>
      </w:pPr>
      <w:rPr>
        <w:rFonts w:ascii="Wingdings" w:hAnsi="Wingdings"/>
      </w:rPr>
    </w:lvl>
  </w:abstractNum>
  <w:abstractNum w:abstractNumId="1" w15:restartNumberingAfterBreak="0">
    <w:nsid w:val="068661ED"/>
    <w:multiLevelType w:val="hybridMultilevel"/>
    <w:tmpl w:val="00000000"/>
    <w:lvl w:ilvl="0" w:tplc="3EDCFF2E">
      <w:start w:val="1"/>
      <w:numFmt w:val="lowerLetter"/>
      <w:lvlText w:val="%1."/>
      <w:lvlJc w:val="left"/>
      <w:pPr>
        <w:ind w:left="631" w:hanging="360"/>
      </w:pPr>
    </w:lvl>
    <w:lvl w:ilvl="1" w:tplc="422269EC">
      <w:start w:val="1"/>
      <w:numFmt w:val="decimal"/>
      <w:lvlText w:val="%2."/>
      <w:lvlJc w:val="left"/>
      <w:pPr>
        <w:ind w:left="1351" w:hanging="360"/>
      </w:pPr>
    </w:lvl>
    <w:lvl w:ilvl="2" w:tplc="ECCE5978">
      <w:start w:val="1"/>
      <w:numFmt w:val="lowerRoman"/>
      <w:lvlText w:val="%3."/>
      <w:lvlJc w:val="right"/>
      <w:pPr>
        <w:ind w:left="2071" w:hanging="180"/>
      </w:pPr>
    </w:lvl>
    <w:lvl w:ilvl="3" w:tplc="EDECFD22">
      <w:start w:val="1"/>
      <w:numFmt w:val="decimal"/>
      <w:lvlText w:val="%4."/>
      <w:lvlJc w:val="left"/>
      <w:pPr>
        <w:ind w:left="2791" w:hanging="360"/>
      </w:pPr>
    </w:lvl>
    <w:lvl w:ilvl="4" w:tplc="CF5E089E">
      <w:start w:val="1"/>
      <w:numFmt w:val="lowerLetter"/>
      <w:lvlText w:val="%5)"/>
      <w:lvlJc w:val="left"/>
      <w:pPr>
        <w:ind w:left="3511" w:hanging="360"/>
      </w:pPr>
      <w:rPr>
        <w:b/>
      </w:rPr>
    </w:lvl>
    <w:lvl w:ilvl="5" w:tplc="CEE005E8">
      <w:start w:val="1"/>
      <w:numFmt w:val="lowerRoman"/>
      <w:lvlText w:val="%6."/>
      <w:lvlJc w:val="right"/>
      <w:pPr>
        <w:ind w:left="4231" w:hanging="180"/>
      </w:pPr>
    </w:lvl>
    <w:lvl w:ilvl="6" w:tplc="DF38135E">
      <w:start w:val="1"/>
      <w:numFmt w:val="decimal"/>
      <w:lvlText w:val="%7."/>
      <w:lvlJc w:val="left"/>
      <w:pPr>
        <w:ind w:left="4951" w:hanging="360"/>
      </w:pPr>
    </w:lvl>
    <w:lvl w:ilvl="7" w:tplc="827EB184">
      <w:start w:val="1"/>
      <w:numFmt w:val="lowerLetter"/>
      <w:lvlText w:val="%8."/>
      <w:lvlJc w:val="left"/>
      <w:pPr>
        <w:ind w:left="5671" w:hanging="360"/>
      </w:pPr>
    </w:lvl>
    <w:lvl w:ilvl="8" w:tplc="B9962816">
      <w:start w:val="1"/>
      <w:numFmt w:val="lowerRoman"/>
      <w:lvlText w:val="%9."/>
      <w:lvlJc w:val="right"/>
      <w:pPr>
        <w:ind w:left="6391" w:hanging="180"/>
      </w:pPr>
    </w:lvl>
  </w:abstractNum>
  <w:abstractNum w:abstractNumId="2" w15:restartNumberingAfterBreak="0">
    <w:nsid w:val="09B4647D"/>
    <w:multiLevelType w:val="hybridMultilevel"/>
    <w:tmpl w:val="00000000"/>
    <w:lvl w:ilvl="0" w:tplc="B88A13C2">
      <w:start w:val="1"/>
      <w:numFmt w:val="upperLetter"/>
      <w:lvlText w:val="%1."/>
      <w:lvlJc w:val="left"/>
      <w:pPr>
        <w:ind w:left="1004" w:hanging="360"/>
      </w:pPr>
    </w:lvl>
    <w:lvl w:ilvl="1" w:tplc="62C6B660">
      <w:start w:val="1"/>
      <w:numFmt w:val="lowerLetter"/>
      <w:lvlText w:val="%2."/>
      <w:lvlJc w:val="left"/>
      <w:pPr>
        <w:ind w:left="1724" w:hanging="360"/>
      </w:pPr>
    </w:lvl>
    <w:lvl w:ilvl="2" w:tplc="31F4B934">
      <w:start w:val="1"/>
      <w:numFmt w:val="lowerRoman"/>
      <w:lvlText w:val="%3."/>
      <w:lvlJc w:val="right"/>
      <w:pPr>
        <w:ind w:left="2444" w:hanging="180"/>
      </w:pPr>
    </w:lvl>
    <w:lvl w:ilvl="3" w:tplc="9FB0B610">
      <w:start w:val="1"/>
      <w:numFmt w:val="decimal"/>
      <w:lvlText w:val="%4."/>
      <w:lvlJc w:val="left"/>
      <w:pPr>
        <w:ind w:left="3164" w:hanging="360"/>
      </w:pPr>
    </w:lvl>
    <w:lvl w:ilvl="4" w:tplc="F5B600E4">
      <w:start w:val="1"/>
      <w:numFmt w:val="lowerLetter"/>
      <w:lvlText w:val="%5."/>
      <w:lvlJc w:val="left"/>
      <w:pPr>
        <w:ind w:left="3884" w:hanging="360"/>
      </w:pPr>
    </w:lvl>
    <w:lvl w:ilvl="5" w:tplc="A4A49A4A">
      <w:start w:val="1"/>
      <w:numFmt w:val="lowerRoman"/>
      <w:lvlText w:val="%6."/>
      <w:lvlJc w:val="right"/>
      <w:pPr>
        <w:ind w:left="4604" w:hanging="180"/>
      </w:pPr>
    </w:lvl>
    <w:lvl w:ilvl="6" w:tplc="B5BC63CE">
      <w:start w:val="1"/>
      <w:numFmt w:val="decimal"/>
      <w:lvlText w:val="%7."/>
      <w:lvlJc w:val="left"/>
      <w:pPr>
        <w:ind w:left="5324" w:hanging="360"/>
      </w:pPr>
    </w:lvl>
    <w:lvl w:ilvl="7" w:tplc="64F0BB3A">
      <w:start w:val="1"/>
      <w:numFmt w:val="lowerLetter"/>
      <w:lvlText w:val="%8."/>
      <w:lvlJc w:val="left"/>
      <w:pPr>
        <w:ind w:left="6044" w:hanging="360"/>
      </w:pPr>
    </w:lvl>
    <w:lvl w:ilvl="8" w:tplc="546E72C4">
      <w:start w:val="1"/>
      <w:numFmt w:val="lowerRoman"/>
      <w:lvlText w:val="%9."/>
      <w:lvlJc w:val="right"/>
      <w:pPr>
        <w:ind w:left="6764" w:hanging="180"/>
      </w:pPr>
    </w:lvl>
  </w:abstractNum>
  <w:abstractNum w:abstractNumId="3" w15:restartNumberingAfterBreak="0">
    <w:nsid w:val="0E7C5445"/>
    <w:multiLevelType w:val="hybridMultilevel"/>
    <w:tmpl w:val="00000000"/>
    <w:lvl w:ilvl="0" w:tplc="FE80FC54">
      <w:start w:val="1"/>
      <w:numFmt w:val="lowerLetter"/>
      <w:lvlText w:val="%1."/>
      <w:lvlJc w:val="left"/>
      <w:pPr>
        <w:ind w:left="720" w:hanging="360"/>
      </w:pPr>
    </w:lvl>
    <w:lvl w:ilvl="1" w:tplc="A77CE588">
      <w:start w:val="1"/>
      <w:numFmt w:val="lowerLetter"/>
      <w:lvlText w:val="%2."/>
      <w:lvlJc w:val="left"/>
      <w:pPr>
        <w:ind w:left="1440" w:hanging="360"/>
      </w:pPr>
    </w:lvl>
    <w:lvl w:ilvl="2" w:tplc="1038A2C8">
      <w:start w:val="1"/>
      <w:numFmt w:val="lowerRoman"/>
      <w:lvlText w:val="%3."/>
      <w:lvlJc w:val="right"/>
      <w:pPr>
        <w:ind w:left="2160" w:hanging="180"/>
      </w:pPr>
    </w:lvl>
    <w:lvl w:ilvl="3" w:tplc="6D3642D8">
      <w:start w:val="1"/>
      <w:numFmt w:val="decimal"/>
      <w:lvlText w:val="%4."/>
      <w:lvlJc w:val="left"/>
      <w:pPr>
        <w:ind w:left="2880" w:hanging="360"/>
      </w:pPr>
    </w:lvl>
    <w:lvl w:ilvl="4" w:tplc="A6F0BEA2">
      <w:start w:val="1"/>
      <w:numFmt w:val="lowerLetter"/>
      <w:lvlText w:val="%5."/>
      <w:lvlJc w:val="left"/>
      <w:pPr>
        <w:ind w:left="3600" w:hanging="360"/>
      </w:pPr>
    </w:lvl>
    <w:lvl w:ilvl="5" w:tplc="D6D65DC6">
      <w:start w:val="1"/>
      <w:numFmt w:val="lowerRoman"/>
      <w:lvlText w:val="%6."/>
      <w:lvlJc w:val="right"/>
      <w:pPr>
        <w:ind w:left="4320" w:hanging="180"/>
      </w:pPr>
    </w:lvl>
    <w:lvl w:ilvl="6" w:tplc="E46A5F4A">
      <w:start w:val="1"/>
      <w:numFmt w:val="decimal"/>
      <w:lvlText w:val="%7."/>
      <w:lvlJc w:val="left"/>
      <w:pPr>
        <w:ind w:left="5040" w:hanging="360"/>
      </w:pPr>
    </w:lvl>
    <w:lvl w:ilvl="7" w:tplc="375AE96C">
      <w:start w:val="1"/>
      <w:numFmt w:val="lowerLetter"/>
      <w:lvlText w:val="%8."/>
      <w:lvlJc w:val="left"/>
      <w:pPr>
        <w:ind w:left="5760" w:hanging="360"/>
      </w:pPr>
    </w:lvl>
    <w:lvl w:ilvl="8" w:tplc="60D42784">
      <w:start w:val="1"/>
      <w:numFmt w:val="lowerRoman"/>
      <w:lvlText w:val="%9."/>
      <w:lvlJc w:val="right"/>
      <w:pPr>
        <w:ind w:left="6480" w:hanging="180"/>
      </w:pPr>
    </w:lvl>
  </w:abstractNum>
  <w:abstractNum w:abstractNumId="4" w15:restartNumberingAfterBreak="0">
    <w:nsid w:val="0F6EB208"/>
    <w:multiLevelType w:val="hybridMultilevel"/>
    <w:tmpl w:val="00000000"/>
    <w:lvl w:ilvl="0" w:tplc="3000D31A">
      <w:start w:val="1"/>
      <w:numFmt w:val="decimal"/>
      <w:lvlText w:val="%1)"/>
      <w:lvlJc w:val="left"/>
      <w:pPr>
        <w:ind w:left="502" w:hanging="360"/>
      </w:pPr>
    </w:lvl>
    <w:lvl w:ilvl="1" w:tplc="274C06F2">
      <w:start w:val="1"/>
      <w:numFmt w:val="bullet"/>
      <w:lvlText w:val="o"/>
      <w:lvlJc w:val="left"/>
      <w:pPr>
        <w:ind w:left="1440" w:hanging="360"/>
      </w:pPr>
      <w:rPr>
        <w:rFonts w:ascii="Courier New" w:hAnsi="Courier New"/>
      </w:rPr>
    </w:lvl>
    <w:lvl w:ilvl="2" w:tplc="D324C118">
      <w:start w:val="1"/>
      <w:numFmt w:val="bullet"/>
      <w:lvlText w:val="§"/>
      <w:lvlJc w:val="left"/>
      <w:pPr>
        <w:ind w:left="2160" w:hanging="360"/>
      </w:pPr>
      <w:rPr>
        <w:rFonts w:ascii="Wingdings" w:hAnsi="Wingdings"/>
      </w:rPr>
    </w:lvl>
    <w:lvl w:ilvl="3" w:tplc="2FFEA8CC">
      <w:start w:val="1"/>
      <w:numFmt w:val="bullet"/>
      <w:lvlText w:val="·"/>
      <w:lvlJc w:val="left"/>
      <w:pPr>
        <w:ind w:left="2880" w:hanging="360"/>
      </w:pPr>
      <w:rPr>
        <w:rFonts w:ascii="Symbol" w:hAnsi="Symbol"/>
      </w:rPr>
    </w:lvl>
    <w:lvl w:ilvl="4" w:tplc="29AAC55A">
      <w:start w:val="1"/>
      <w:numFmt w:val="bullet"/>
      <w:lvlText w:val="o"/>
      <w:lvlJc w:val="left"/>
      <w:pPr>
        <w:ind w:left="3600" w:hanging="360"/>
      </w:pPr>
      <w:rPr>
        <w:rFonts w:ascii="Courier New" w:hAnsi="Courier New"/>
      </w:rPr>
    </w:lvl>
    <w:lvl w:ilvl="5" w:tplc="908E1170">
      <w:start w:val="1"/>
      <w:numFmt w:val="bullet"/>
      <w:lvlText w:val="§"/>
      <w:lvlJc w:val="left"/>
      <w:pPr>
        <w:ind w:left="4320" w:hanging="360"/>
      </w:pPr>
      <w:rPr>
        <w:rFonts w:ascii="Wingdings" w:hAnsi="Wingdings"/>
      </w:rPr>
    </w:lvl>
    <w:lvl w:ilvl="6" w:tplc="7D16342C">
      <w:start w:val="1"/>
      <w:numFmt w:val="bullet"/>
      <w:lvlText w:val="·"/>
      <w:lvlJc w:val="left"/>
      <w:pPr>
        <w:ind w:left="5040" w:hanging="360"/>
      </w:pPr>
      <w:rPr>
        <w:rFonts w:ascii="Symbol" w:hAnsi="Symbol"/>
      </w:rPr>
    </w:lvl>
    <w:lvl w:ilvl="7" w:tplc="F618BC7C">
      <w:start w:val="1"/>
      <w:numFmt w:val="bullet"/>
      <w:lvlText w:val="o"/>
      <w:lvlJc w:val="left"/>
      <w:pPr>
        <w:ind w:left="5760" w:hanging="360"/>
      </w:pPr>
      <w:rPr>
        <w:rFonts w:ascii="Courier New" w:hAnsi="Courier New"/>
      </w:rPr>
    </w:lvl>
    <w:lvl w:ilvl="8" w:tplc="6150C5D8">
      <w:start w:val="1"/>
      <w:numFmt w:val="bullet"/>
      <w:lvlText w:val="§"/>
      <w:lvlJc w:val="left"/>
      <w:pPr>
        <w:ind w:left="6480" w:hanging="360"/>
      </w:pPr>
      <w:rPr>
        <w:rFonts w:ascii="Wingdings" w:hAnsi="Wingdings"/>
      </w:rPr>
    </w:lvl>
  </w:abstractNum>
  <w:abstractNum w:abstractNumId="5" w15:restartNumberingAfterBreak="0">
    <w:nsid w:val="0FC76B2E"/>
    <w:multiLevelType w:val="hybridMultilevel"/>
    <w:tmpl w:val="00000000"/>
    <w:lvl w:ilvl="0" w:tplc="77440034">
      <w:start w:val="1"/>
      <w:numFmt w:val="lowerLetter"/>
      <w:lvlText w:val="%1."/>
      <w:lvlJc w:val="left"/>
      <w:pPr>
        <w:ind w:left="720" w:hanging="360"/>
      </w:pPr>
    </w:lvl>
    <w:lvl w:ilvl="1" w:tplc="30AEDCE0">
      <w:start w:val="1"/>
      <w:numFmt w:val="lowerLetter"/>
      <w:lvlText w:val="%2."/>
      <w:lvlJc w:val="left"/>
      <w:pPr>
        <w:ind w:left="1440" w:hanging="360"/>
      </w:pPr>
    </w:lvl>
    <w:lvl w:ilvl="2" w:tplc="2D4078BC">
      <w:start w:val="1"/>
      <w:numFmt w:val="lowerRoman"/>
      <w:lvlText w:val="%3."/>
      <w:lvlJc w:val="right"/>
      <w:pPr>
        <w:ind w:left="2160" w:hanging="180"/>
      </w:pPr>
    </w:lvl>
    <w:lvl w:ilvl="3" w:tplc="436CFD80">
      <w:start w:val="1"/>
      <w:numFmt w:val="decimal"/>
      <w:lvlText w:val="%4."/>
      <w:lvlJc w:val="left"/>
      <w:pPr>
        <w:ind w:left="2880" w:hanging="360"/>
      </w:pPr>
    </w:lvl>
    <w:lvl w:ilvl="4" w:tplc="B8841D76">
      <w:start w:val="1"/>
      <w:numFmt w:val="lowerLetter"/>
      <w:lvlText w:val="%5."/>
      <w:lvlJc w:val="left"/>
      <w:pPr>
        <w:ind w:left="3600" w:hanging="360"/>
      </w:pPr>
    </w:lvl>
    <w:lvl w:ilvl="5" w:tplc="9EBAC226">
      <w:start w:val="1"/>
      <w:numFmt w:val="lowerRoman"/>
      <w:lvlText w:val="%6."/>
      <w:lvlJc w:val="right"/>
      <w:pPr>
        <w:ind w:left="4320" w:hanging="180"/>
      </w:pPr>
    </w:lvl>
    <w:lvl w:ilvl="6" w:tplc="E5848AFE">
      <w:start w:val="1"/>
      <w:numFmt w:val="decimal"/>
      <w:lvlText w:val="%7."/>
      <w:lvlJc w:val="left"/>
      <w:pPr>
        <w:ind w:left="5040" w:hanging="360"/>
      </w:pPr>
    </w:lvl>
    <w:lvl w:ilvl="7" w:tplc="A5F07B86">
      <w:start w:val="1"/>
      <w:numFmt w:val="lowerLetter"/>
      <w:lvlText w:val="%8."/>
      <w:lvlJc w:val="left"/>
      <w:pPr>
        <w:ind w:left="5760" w:hanging="360"/>
      </w:pPr>
    </w:lvl>
    <w:lvl w:ilvl="8" w:tplc="2D5CA906">
      <w:start w:val="1"/>
      <w:numFmt w:val="lowerRoman"/>
      <w:lvlText w:val="%9."/>
      <w:lvlJc w:val="right"/>
      <w:pPr>
        <w:ind w:left="6480" w:hanging="180"/>
      </w:pPr>
    </w:lvl>
  </w:abstractNum>
  <w:abstractNum w:abstractNumId="6" w15:restartNumberingAfterBreak="0">
    <w:nsid w:val="190E64BE"/>
    <w:multiLevelType w:val="hybridMultilevel"/>
    <w:tmpl w:val="00000000"/>
    <w:lvl w:ilvl="0" w:tplc="F6F4A1D6">
      <w:start w:val="1"/>
      <w:numFmt w:val="upperRoman"/>
      <w:lvlText w:val="%1."/>
      <w:lvlJc w:val="left"/>
      <w:pPr>
        <w:ind w:left="1080" w:hanging="720"/>
      </w:pPr>
    </w:lvl>
    <w:lvl w:ilvl="1" w:tplc="31E81F74">
      <w:start w:val="1"/>
      <w:numFmt w:val="lowerLetter"/>
      <w:lvlText w:val="%2."/>
      <w:lvlJc w:val="left"/>
      <w:pPr>
        <w:ind w:left="1440" w:hanging="360"/>
      </w:pPr>
    </w:lvl>
    <w:lvl w:ilvl="2" w:tplc="ED6CD922">
      <w:start w:val="1"/>
      <w:numFmt w:val="lowerRoman"/>
      <w:lvlText w:val="%3."/>
      <w:lvlJc w:val="right"/>
      <w:pPr>
        <w:ind w:left="2160" w:hanging="180"/>
      </w:pPr>
    </w:lvl>
    <w:lvl w:ilvl="3" w:tplc="9116A278">
      <w:start w:val="1"/>
      <w:numFmt w:val="decimal"/>
      <w:lvlText w:val="%4."/>
      <w:lvlJc w:val="left"/>
      <w:pPr>
        <w:ind w:left="2880" w:hanging="360"/>
      </w:pPr>
    </w:lvl>
    <w:lvl w:ilvl="4" w:tplc="6208368C">
      <w:start w:val="1"/>
      <w:numFmt w:val="lowerLetter"/>
      <w:lvlText w:val="%5."/>
      <w:lvlJc w:val="left"/>
      <w:pPr>
        <w:ind w:left="3600" w:hanging="360"/>
      </w:pPr>
    </w:lvl>
    <w:lvl w:ilvl="5" w:tplc="FD4E3D14">
      <w:start w:val="1"/>
      <w:numFmt w:val="lowerRoman"/>
      <w:lvlText w:val="%6."/>
      <w:lvlJc w:val="right"/>
      <w:pPr>
        <w:ind w:left="4320" w:hanging="180"/>
      </w:pPr>
    </w:lvl>
    <w:lvl w:ilvl="6" w:tplc="7E5E740E">
      <w:start w:val="1"/>
      <w:numFmt w:val="decimal"/>
      <w:lvlText w:val="%7."/>
      <w:lvlJc w:val="left"/>
      <w:pPr>
        <w:ind w:left="5040" w:hanging="360"/>
      </w:pPr>
    </w:lvl>
    <w:lvl w:ilvl="7" w:tplc="D1FE7618">
      <w:start w:val="1"/>
      <w:numFmt w:val="lowerLetter"/>
      <w:lvlText w:val="%8."/>
      <w:lvlJc w:val="left"/>
      <w:pPr>
        <w:ind w:left="5760" w:hanging="360"/>
      </w:pPr>
    </w:lvl>
    <w:lvl w:ilvl="8" w:tplc="18E469FE">
      <w:start w:val="1"/>
      <w:numFmt w:val="lowerRoman"/>
      <w:lvlText w:val="%9."/>
      <w:lvlJc w:val="right"/>
      <w:pPr>
        <w:ind w:left="6480" w:hanging="180"/>
      </w:pPr>
    </w:lvl>
  </w:abstractNum>
  <w:abstractNum w:abstractNumId="7" w15:restartNumberingAfterBreak="0">
    <w:nsid w:val="1B9C6F23"/>
    <w:multiLevelType w:val="hybridMultilevel"/>
    <w:tmpl w:val="00000000"/>
    <w:lvl w:ilvl="0" w:tplc="1D442342">
      <w:start w:val="1"/>
      <w:numFmt w:val="bullet"/>
      <w:lvlText w:val=""/>
      <w:lvlJc w:val="left"/>
      <w:pPr>
        <w:ind w:left="720" w:hanging="360"/>
      </w:pPr>
      <w:rPr>
        <w:rFonts w:ascii="Wingdings" w:hAnsi="Wingdings"/>
      </w:rPr>
    </w:lvl>
    <w:lvl w:ilvl="1" w:tplc="E83C06E2">
      <w:start w:val="1"/>
      <w:numFmt w:val="bullet"/>
      <w:lvlText w:val="o"/>
      <w:lvlJc w:val="left"/>
      <w:pPr>
        <w:ind w:left="1440" w:hanging="360"/>
      </w:pPr>
      <w:rPr>
        <w:rFonts w:ascii="Courier New" w:hAnsi="Courier New"/>
      </w:rPr>
    </w:lvl>
    <w:lvl w:ilvl="2" w:tplc="862E3C08">
      <w:start w:val="1"/>
      <w:numFmt w:val="bullet"/>
      <w:lvlText w:val=""/>
      <w:lvlJc w:val="left"/>
      <w:pPr>
        <w:ind w:left="2160" w:hanging="360"/>
      </w:pPr>
      <w:rPr>
        <w:rFonts w:ascii="Wingdings" w:hAnsi="Wingdings"/>
      </w:rPr>
    </w:lvl>
    <w:lvl w:ilvl="3" w:tplc="8C204164">
      <w:start w:val="1"/>
      <w:numFmt w:val="bullet"/>
      <w:lvlText w:val=""/>
      <w:lvlJc w:val="left"/>
      <w:pPr>
        <w:ind w:left="2880" w:hanging="360"/>
      </w:pPr>
      <w:rPr>
        <w:rFonts w:ascii="Symbol" w:hAnsi="Symbol"/>
      </w:rPr>
    </w:lvl>
    <w:lvl w:ilvl="4" w:tplc="F9641C2A">
      <w:start w:val="1"/>
      <w:numFmt w:val="bullet"/>
      <w:lvlText w:val="o"/>
      <w:lvlJc w:val="left"/>
      <w:pPr>
        <w:ind w:left="3600" w:hanging="360"/>
      </w:pPr>
      <w:rPr>
        <w:rFonts w:ascii="Courier New" w:hAnsi="Courier New"/>
      </w:rPr>
    </w:lvl>
    <w:lvl w:ilvl="5" w:tplc="BA169124">
      <w:start w:val="1"/>
      <w:numFmt w:val="bullet"/>
      <w:lvlText w:val=""/>
      <w:lvlJc w:val="left"/>
      <w:pPr>
        <w:ind w:left="4320" w:hanging="360"/>
      </w:pPr>
      <w:rPr>
        <w:rFonts w:ascii="Wingdings" w:hAnsi="Wingdings"/>
      </w:rPr>
    </w:lvl>
    <w:lvl w:ilvl="6" w:tplc="A0AA19FC">
      <w:start w:val="1"/>
      <w:numFmt w:val="bullet"/>
      <w:lvlText w:val=""/>
      <w:lvlJc w:val="left"/>
      <w:pPr>
        <w:ind w:left="5040" w:hanging="360"/>
      </w:pPr>
      <w:rPr>
        <w:rFonts w:ascii="Symbol" w:hAnsi="Symbol"/>
      </w:rPr>
    </w:lvl>
    <w:lvl w:ilvl="7" w:tplc="60EA6BAA">
      <w:start w:val="1"/>
      <w:numFmt w:val="bullet"/>
      <w:lvlText w:val="o"/>
      <w:lvlJc w:val="left"/>
      <w:pPr>
        <w:ind w:left="5760" w:hanging="360"/>
      </w:pPr>
      <w:rPr>
        <w:rFonts w:ascii="Courier New" w:hAnsi="Courier New"/>
      </w:rPr>
    </w:lvl>
    <w:lvl w:ilvl="8" w:tplc="CF4A00D4">
      <w:start w:val="1"/>
      <w:numFmt w:val="bullet"/>
      <w:lvlText w:val=""/>
      <w:lvlJc w:val="left"/>
      <w:pPr>
        <w:ind w:left="6480" w:hanging="360"/>
      </w:pPr>
      <w:rPr>
        <w:rFonts w:ascii="Wingdings" w:hAnsi="Wingdings"/>
      </w:rPr>
    </w:lvl>
  </w:abstractNum>
  <w:abstractNum w:abstractNumId="8" w15:restartNumberingAfterBreak="0">
    <w:nsid w:val="1E08C99A"/>
    <w:multiLevelType w:val="hybridMultilevel"/>
    <w:tmpl w:val="00000000"/>
    <w:lvl w:ilvl="0" w:tplc="4D227EA2">
      <w:start w:val="1"/>
      <w:numFmt w:val="decimal"/>
      <w:lvlText w:val="%1)"/>
      <w:lvlJc w:val="left"/>
      <w:pPr>
        <w:ind w:left="502" w:hanging="360"/>
      </w:pPr>
    </w:lvl>
    <w:lvl w:ilvl="1" w:tplc="A6302C7E">
      <w:start w:val="1"/>
      <w:numFmt w:val="bullet"/>
      <w:lvlText w:val="o"/>
      <w:lvlJc w:val="left"/>
      <w:pPr>
        <w:ind w:left="1440" w:hanging="360"/>
      </w:pPr>
      <w:rPr>
        <w:rFonts w:ascii="Courier New" w:hAnsi="Courier New"/>
      </w:rPr>
    </w:lvl>
    <w:lvl w:ilvl="2" w:tplc="2E4C80B6">
      <w:start w:val="1"/>
      <w:numFmt w:val="bullet"/>
      <w:lvlText w:val="§"/>
      <w:lvlJc w:val="left"/>
      <w:pPr>
        <w:ind w:left="2160" w:hanging="360"/>
      </w:pPr>
      <w:rPr>
        <w:rFonts w:ascii="Wingdings" w:hAnsi="Wingdings"/>
      </w:rPr>
    </w:lvl>
    <w:lvl w:ilvl="3" w:tplc="44AAAA16">
      <w:start w:val="1"/>
      <w:numFmt w:val="bullet"/>
      <w:lvlText w:val="·"/>
      <w:lvlJc w:val="left"/>
      <w:pPr>
        <w:ind w:left="2880" w:hanging="360"/>
      </w:pPr>
      <w:rPr>
        <w:rFonts w:ascii="Symbol" w:hAnsi="Symbol"/>
      </w:rPr>
    </w:lvl>
    <w:lvl w:ilvl="4" w:tplc="ADD68B42">
      <w:start w:val="1"/>
      <w:numFmt w:val="bullet"/>
      <w:lvlText w:val="o"/>
      <w:lvlJc w:val="left"/>
      <w:pPr>
        <w:ind w:left="3600" w:hanging="360"/>
      </w:pPr>
      <w:rPr>
        <w:rFonts w:ascii="Courier New" w:hAnsi="Courier New"/>
      </w:rPr>
    </w:lvl>
    <w:lvl w:ilvl="5" w:tplc="EF2C28C8">
      <w:start w:val="1"/>
      <w:numFmt w:val="bullet"/>
      <w:lvlText w:val="§"/>
      <w:lvlJc w:val="left"/>
      <w:pPr>
        <w:ind w:left="4320" w:hanging="360"/>
      </w:pPr>
      <w:rPr>
        <w:rFonts w:ascii="Wingdings" w:hAnsi="Wingdings"/>
      </w:rPr>
    </w:lvl>
    <w:lvl w:ilvl="6" w:tplc="0A861650">
      <w:start w:val="1"/>
      <w:numFmt w:val="bullet"/>
      <w:lvlText w:val="·"/>
      <w:lvlJc w:val="left"/>
      <w:pPr>
        <w:ind w:left="5040" w:hanging="360"/>
      </w:pPr>
      <w:rPr>
        <w:rFonts w:ascii="Symbol" w:hAnsi="Symbol"/>
      </w:rPr>
    </w:lvl>
    <w:lvl w:ilvl="7" w:tplc="823C9604">
      <w:start w:val="1"/>
      <w:numFmt w:val="bullet"/>
      <w:lvlText w:val="o"/>
      <w:lvlJc w:val="left"/>
      <w:pPr>
        <w:ind w:left="5760" w:hanging="360"/>
      </w:pPr>
      <w:rPr>
        <w:rFonts w:ascii="Courier New" w:hAnsi="Courier New"/>
      </w:rPr>
    </w:lvl>
    <w:lvl w:ilvl="8" w:tplc="B1D00E4A">
      <w:start w:val="1"/>
      <w:numFmt w:val="bullet"/>
      <w:lvlText w:val="§"/>
      <w:lvlJc w:val="left"/>
      <w:pPr>
        <w:ind w:left="6480" w:hanging="360"/>
      </w:pPr>
      <w:rPr>
        <w:rFonts w:ascii="Wingdings" w:hAnsi="Wingdings"/>
      </w:rPr>
    </w:lvl>
  </w:abstractNum>
  <w:abstractNum w:abstractNumId="9" w15:restartNumberingAfterBreak="0">
    <w:nsid w:val="1FD49EF9"/>
    <w:multiLevelType w:val="hybridMultilevel"/>
    <w:tmpl w:val="00000000"/>
    <w:lvl w:ilvl="0" w:tplc="13449BC8">
      <w:start w:val="5"/>
      <w:numFmt w:val="upperLetter"/>
      <w:lvlText w:val="%1."/>
      <w:lvlJc w:val="left"/>
      <w:pPr>
        <w:ind w:left="1004" w:hanging="360"/>
      </w:pPr>
    </w:lvl>
    <w:lvl w:ilvl="1" w:tplc="CCA8BCC8">
      <w:start w:val="1"/>
      <w:numFmt w:val="lowerLetter"/>
      <w:lvlText w:val="%2."/>
      <w:lvlJc w:val="left"/>
      <w:pPr>
        <w:ind w:left="1724" w:hanging="360"/>
      </w:pPr>
    </w:lvl>
    <w:lvl w:ilvl="2" w:tplc="F946B398">
      <w:start w:val="1"/>
      <w:numFmt w:val="lowerRoman"/>
      <w:lvlText w:val="%3."/>
      <w:lvlJc w:val="right"/>
      <w:pPr>
        <w:ind w:left="2444" w:hanging="180"/>
      </w:pPr>
    </w:lvl>
    <w:lvl w:ilvl="3" w:tplc="3B488526">
      <w:start w:val="1"/>
      <w:numFmt w:val="decimal"/>
      <w:lvlText w:val="%4."/>
      <w:lvlJc w:val="left"/>
      <w:pPr>
        <w:ind w:left="3164" w:hanging="360"/>
      </w:pPr>
    </w:lvl>
    <w:lvl w:ilvl="4" w:tplc="9848A014">
      <w:start w:val="1"/>
      <w:numFmt w:val="lowerLetter"/>
      <w:lvlText w:val="%5."/>
      <w:lvlJc w:val="left"/>
      <w:pPr>
        <w:ind w:left="3884" w:hanging="360"/>
      </w:pPr>
    </w:lvl>
    <w:lvl w:ilvl="5" w:tplc="CE4E0A58">
      <w:start w:val="1"/>
      <w:numFmt w:val="lowerRoman"/>
      <w:lvlText w:val="%6."/>
      <w:lvlJc w:val="right"/>
      <w:pPr>
        <w:ind w:left="4604" w:hanging="180"/>
      </w:pPr>
    </w:lvl>
    <w:lvl w:ilvl="6" w:tplc="2ACE96B2">
      <w:start w:val="1"/>
      <w:numFmt w:val="decimal"/>
      <w:lvlText w:val="%7."/>
      <w:lvlJc w:val="left"/>
      <w:pPr>
        <w:ind w:left="5324" w:hanging="360"/>
      </w:pPr>
    </w:lvl>
    <w:lvl w:ilvl="7" w:tplc="B93E0DD4">
      <w:start w:val="1"/>
      <w:numFmt w:val="lowerLetter"/>
      <w:lvlText w:val="%8."/>
      <w:lvlJc w:val="left"/>
      <w:pPr>
        <w:ind w:left="6044" w:hanging="360"/>
      </w:pPr>
    </w:lvl>
    <w:lvl w:ilvl="8" w:tplc="C5E43334">
      <w:start w:val="1"/>
      <w:numFmt w:val="lowerRoman"/>
      <w:lvlText w:val="%9."/>
      <w:lvlJc w:val="right"/>
      <w:pPr>
        <w:ind w:left="6764" w:hanging="180"/>
      </w:pPr>
    </w:lvl>
  </w:abstractNum>
  <w:abstractNum w:abstractNumId="10" w15:restartNumberingAfterBreak="0">
    <w:nsid w:val="234F5949"/>
    <w:multiLevelType w:val="hybridMultilevel"/>
    <w:tmpl w:val="00000000"/>
    <w:lvl w:ilvl="0" w:tplc="ADB6A30A">
      <w:start w:val="1"/>
      <w:numFmt w:val="upperLetter"/>
      <w:lvlText w:val="%1."/>
      <w:lvlJc w:val="left"/>
      <w:pPr>
        <w:ind w:left="720" w:hanging="360"/>
      </w:pPr>
    </w:lvl>
    <w:lvl w:ilvl="1" w:tplc="4A9CCE0E">
      <w:start w:val="1"/>
      <w:numFmt w:val="lowerLetter"/>
      <w:lvlText w:val="%2."/>
      <w:lvlJc w:val="left"/>
      <w:pPr>
        <w:ind w:left="1440" w:hanging="360"/>
      </w:pPr>
    </w:lvl>
    <w:lvl w:ilvl="2" w:tplc="72A47926">
      <w:start w:val="1"/>
      <w:numFmt w:val="lowerRoman"/>
      <w:lvlText w:val="%3."/>
      <w:lvlJc w:val="right"/>
      <w:pPr>
        <w:ind w:left="2160" w:hanging="180"/>
      </w:pPr>
    </w:lvl>
    <w:lvl w:ilvl="3" w:tplc="35B4AF02">
      <w:start w:val="1"/>
      <w:numFmt w:val="decimal"/>
      <w:lvlText w:val="%4."/>
      <w:lvlJc w:val="left"/>
      <w:pPr>
        <w:ind w:left="2880" w:hanging="360"/>
      </w:pPr>
    </w:lvl>
    <w:lvl w:ilvl="4" w:tplc="5C4EA7CE">
      <w:start w:val="1"/>
      <w:numFmt w:val="lowerLetter"/>
      <w:lvlText w:val="%5."/>
      <w:lvlJc w:val="left"/>
      <w:pPr>
        <w:ind w:left="3600" w:hanging="360"/>
      </w:pPr>
    </w:lvl>
    <w:lvl w:ilvl="5" w:tplc="3BBADB26">
      <w:start w:val="1"/>
      <w:numFmt w:val="lowerRoman"/>
      <w:lvlText w:val="%6."/>
      <w:lvlJc w:val="right"/>
      <w:pPr>
        <w:ind w:left="4320" w:hanging="180"/>
      </w:pPr>
    </w:lvl>
    <w:lvl w:ilvl="6" w:tplc="CEDECADE">
      <w:start w:val="1"/>
      <w:numFmt w:val="decimal"/>
      <w:lvlText w:val="%7."/>
      <w:lvlJc w:val="left"/>
      <w:pPr>
        <w:ind w:left="5040" w:hanging="360"/>
      </w:pPr>
    </w:lvl>
    <w:lvl w:ilvl="7" w:tplc="509831B0">
      <w:start w:val="1"/>
      <w:numFmt w:val="lowerLetter"/>
      <w:lvlText w:val="%8."/>
      <w:lvlJc w:val="left"/>
      <w:pPr>
        <w:ind w:left="5760" w:hanging="360"/>
      </w:pPr>
    </w:lvl>
    <w:lvl w:ilvl="8" w:tplc="A51A4F2C">
      <w:start w:val="1"/>
      <w:numFmt w:val="lowerRoman"/>
      <w:lvlText w:val="%9."/>
      <w:lvlJc w:val="right"/>
      <w:pPr>
        <w:ind w:left="6480" w:hanging="180"/>
      </w:pPr>
    </w:lvl>
  </w:abstractNum>
  <w:abstractNum w:abstractNumId="11" w15:restartNumberingAfterBreak="0">
    <w:nsid w:val="241853D2"/>
    <w:multiLevelType w:val="hybridMultilevel"/>
    <w:tmpl w:val="00000000"/>
    <w:lvl w:ilvl="0" w:tplc="937A2E84">
      <w:start w:val="1"/>
      <w:numFmt w:val="upperRoman"/>
      <w:lvlText w:val="%1."/>
      <w:lvlJc w:val="right"/>
      <w:pPr>
        <w:ind w:left="720" w:hanging="360"/>
      </w:pPr>
      <w:rPr>
        <w:b/>
      </w:rPr>
    </w:lvl>
    <w:lvl w:ilvl="1" w:tplc="D1D2EA7C">
      <w:start w:val="1"/>
      <w:numFmt w:val="lowerLetter"/>
      <w:lvlText w:val="%2."/>
      <w:lvlJc w:val="left"/>
      <w:pPr>
        <w:ind w:left="1440" w:hanging="360"/>
      </w:pPr>
    </w:lvl>
    <w:lvl w:ilvl="2" w:tplc="1374969E">
      <w:start w:val="1"/>
      <w:numFmt w:val="lowerRoman"/>
      <w:lvlText w:val="%3."/>
      <w:lvlJc w:val="right"/>
      <w:pPr>
        <w:ind w:left="2160" w:hanging="180"/>
      </w:pPr>
    </w:lvl>
    <w:lvl w:ilvl="3" w:tplc="9982A074">
      <w:start w:val="1"/>
      <w:numFmt w:val="decimal"/>
      <w:lvlText w:val="%4."/>
      <w:lvlJc w:val="left"/>
      <w:pPr>
        <w:ind w:left="2880" w:hanging="360"/>
      </w:pPr>
    </w:lvl>
    <w:lvl w:ilvl="4" w:tplc="2F262966">
      <w:start w:val="1"/>
      <w:numFmt w:val="lowerLetter"/>
      <w:lvlText w:val="%5."/>
      <w:lvlJc w:val="left"/>
      <w:pPr>
        <w:ind w:left="3600" w:hanging="360"/>
      </w:pPr>
    </w:lvl>
    <w:lvl w:ilvl="5" w:tplc="7AA6C520">
      <w:start w:val="1"/>
      <w:numFmt w:val="lowerRoman"/>
      <w:lvlText w:val="%6."/>
      <w:lvlJc w:val="right"/>
      <w:pPr>
        <w:ind w:left="4320" w:hanging="180"/>
      </w:pPr>
    </w:lvl>
    <w:lvl w:ilvl="6" w:tplc="06B0CEEA">
      <w:start w:val="1"/>
      <w:numFmt w:val="decimal"/>
      <w:lvlText w:val="%7."/>
      <w:lvlJc w:val="left"/>
      <w:pPr>
        <w:ind w:left="5040" w:hanging="360"/>
      </w:pPr>
    </w:lvl>
    <w:lvl w:ilvl="7" w:tplc="806E6EE6">
      <w:start w:val="1"/>
      <w:numFmt w:val="lowerLetter"/>
      <w:lvlText w:val="%8."/>
      <w:lvlJc w:val="left"/>
      <w:pPr>
        <w:ind w:left="5760" w:hanging="360"/>
      </w:pPr>
    </w:lvl>
    <w:lvl w:ilvl="8" w:tplc="06AEB56C">
      <w:start w:val="1"/>
      <w:numFmt w:val="lowerRoman"/>
      <w:lvlText w:val="%9."/>
      <w:lvlJc w:val="right"/>
      <w:pPr>
        <w:ind w:left="6480" w:hanging="180"/>
      </w:pPr>
    </w:lvl>
  </w:abstractNum>
  <w:abstractNum w:abstractNumId="12" w15:restartNumberingAfterBreak="0">
    <w:nsid w:val="24B450AF"/>
    <w:multiLevelType w:val="hybridMultilevel"/>
    <w:tmpl w:val="00000000"/>
    <w:lvl w:ilvl="0" w:tplc="A6EE6832">
      <w:start w:val="1"/>
      <w:numFmt w:val="lowerLetter"/>
      <w:lvlText w:val="%1."/>
      <w:lvlJc w:val="left"/>
      <w:pPr>
        <w:ind w:left="720" w:hanging="360"/>
      </w:pPr>
    </w:lvl>
    <w:lvl w:ilvl="1" w:tplc="A8681CF2">
      <w:start w:val="1"/>
      <w:numFmt w:val="lowerLetter"/>
      <w:lvlText w:val="%2."/>
      <w:lvlJc w:val="left"/>
      <w:pPr>
        <w:ind w:left="1440" w:hanging="360"/>
      </w:pPr>
    </w:lvl>
    <w:lvl w:ilvl="2" w:tplc="DD4C5E4C">
      <w:start w:val="1"/>
      <w:numFmt w:val="lowerRoman"/>
      <w:lvlText w:val="%3."/>
      <w:lvlJc w:val="right"/>
      <w:pPr>
        <w:ind w:left="2160" w:hanging="180"/>
      </w:pPr>
    </w:lvl>
    <w:lvl w:ilvl="3" w:tplc="1166E61E">
      <w:start w:val="1"/>
      <w:numFmt w:val="decimal"/>
      <w:lvlText w:val="%4."/>
      <w:lvlJc w:val="left"/>
      <w:pPr>
        <w:ind w:left="2880" w:hanging="360"/>
      </w:pPr>
    </w:lvl>
    <w:lvl w:ilvl="4" w:tplc="A6E0554A">
      <w:start w:val="1"/>
      <w:numFmt w:val="lowerLetter"/>
      <w:lvlText w:val="%5."/>
      <w:lvlJc w:val="left"/>
      <w:pPr>
        <w:ind w:left="3600" w:hanging="360"/>
      </w:pPr>
    </w:lvl>
    <w:lvl w:ilvl="5" w:tplc="6BA03926">
      <w:start w:val="1"/>
      <w:numFmt w:val="lowerRoman"/>
      <w:lvlText w:val="%6."/>
      <w:lvlJc w:val="right"/>
      <w:pPr>
        <w:ind w:left="4320" w:hanging="180"/>
      </w:pPr>
    </w:lvl>
    <w:lvl w:ilvl="6" w:tplc="BECADA72">
      <w:start w:val="1"/>
      <w:numFmt w:val="decimal"/>
      <w:lvlText w:val="%7."/>
      <w:lvlJc w:val="left"/>
      <w:pPr>
        <w:ind w:left="5040" w:hanging="360"/>
      </w:pPr>
    </w:lvl>
    <w:lvl w:ilvl="7" w:tplc="F7DC6B96">
      <w:start w:val="1"/>
      <w:numFmt w:val="lowerLetter"/>
      <w:lvlText w:val="%8."/>
      <w:lvlJc w:val="left"/>
      <w:pPr>
        <w:ind w:left="5760" w:hanging="360"/>
      </w:pPr>
    </w:lvl>
    <w:lvl w:ilvl="8" w:tplc="D98C81EA">
      <w:start w:val="1"/>
      <w:numFmt w:val="lowerRoman"/>
      <w:lvlText w:val="%9."/>
      <w:lvlJc w:val="right"/>
      <w:pPr>
        <w:ind w:left="6480" w:hanging="180"/>
      </w:pPr>
    </w:lvl>
  </w:abstractNum>
  <w:abstractNum w:abstractNumId="13" w15:restartNumberingAfterBreak="0">
    <w:nsid w:val="25AD1534"/>
    <w:multiLevelType w:val="hybridMultilevel"/>
    <w:tmpl w:val="00000000"/>
    <w:lvl w:ilvl="0" w:tplc="B456B5CE">
      <w:start w:val="1"/>
      <w:numFmt w:val="bullet"/>
      <w:lvlText w:val=""/>
      <w:lvlJc w:val="left"/>
      <w:pPr>
        <w:ind w:left="720" w:hanging="360"/>
      </w:pPr>
      <w:rPr>
        <w:rFonts w:ascii="Wingdings" w:hAnsi="Wingdings"/>
      </w:rPr>
    </w:lvl>
    <w:lvl w:ilvl="1" w:tplc="37DE9D62">
      <w:start w:val="1"/>
      <w:numFmt w:val="bullet"/>
      <w:lvlText w:val="o"/>
      <w:lvlJc w:val="left"/>
      <w:pPr>
        <w:ind w:left="1440" w:hanging="360"/>
      </w:pPr>
      <w:rPr>
        <w:rFonts w:ascii="Courier New" w:hAnsi="Courier New"/>
      </w:rPr>
    </w:lvl>
    <w:lvl w:ilvl="2" w:tplc="57CCA836">
      <w:start w:val="1"/>
      <w:numFmt w:val="bullet"/>
      <w:lvlText w:val=""/>
      <w:lvlJc w:val="left"/>
      <w:pPr>
        <w:ind w:left="2160" w:hanging="360"/>
      </w:pPr>
      <w:rPr>
        <w:rFonts w:ascii="Wingdings" w:hAnsi="Wingdings"/>
      </w:rPr>
    </w:lvl>
    <w:lvl w:ilvl="3" w:tplc="8D14A80A">
      <w:start w:val="1"/>
      <w:numFmt w:val="bullet"/>
      <w:lvlText w:val=""/>
      <w:lvlJc w:val="left"/>
      <w:pPr>
        <w:ind w:left="2880" w:hanging="360"/>
      </w:pPr>
      <w:rPr>
        <w:rFonts w:ascii="Symbol" w:hAnsi="Symbol"/>
      </w:rPr>
    </w:lvl>
    <w:lvl w:ilvl="4" w:tplc="2A1AAA76">
      <w:start w:val="1"/>
      <w:numFmt w:val="bullet"/>
      <w:lvlText w:val="o"/>
      <w:lvlJc w:val="left"/>
      <w:pPr>
        <w:ind w:left="3600" w:hanging="360"/>
      </w:pPr>
      <w:rPr>
        <w:rFonts w:ascii="Courier New" w:hAnsi="Courier New"/>
      </w:rPr>
    </w:lvl>
    <w:lvl w:ilvl="5" w:tplc="E84A0F4E">
      <w:start w:val="1"/>
      <w:numFmt w:val="bullet"/>
      <w:lvlText w:val=""/>
      <w:lvlJc w:val="left"/>
      <w:pPr>
        <w:ind w:left="4320" w:hanging="360"/>
      </w:pPr>
      <w:rPr>
        <w:rFonts w:ascii="Wingdings" w:hAnsi="Wingdings"/>
      </w:rPr>
    </w:lvl>
    <w:lvl w:ilvl="6" w:tplc="97E81C4E">
      <w:start w:val="1"/>
      <w:numFmt w:val="bullet"/>
      <w:lvlText w:val=""/>
      <w:lvlJc w:val="left"/>
      <w:pPr>
        <w:ind w:left="5040" w:hanging="360"/>
      </w:pPr>
      <w:rPr>
        <w:rFonts w:ascii="Symbol" w:hAnsi="Symbol"/>
      </w:rPr>
    </w:lvl>
    <w:lvl w:ilvl="7" w:tplc="35A42654">
      <w:start w:val="1"/>
      <w:numFmt w:val="bullet"/>
      <w:lvlText w:val="o"/>
      <w:lvlJc w:val="left"/>
      <w:pPr>
        <w:ind w:left="5760" w:hanging="360"/>
      </w:pPr>
      <w:rPr>
        <w:rFonts w:ascii="Courier New" w:hAnsi="Courier New"/>
      </w:rPr>
    </w:lvl>
    <w:lvl w:ilvl="8" w:tplc="E01C4518">
      <w:start w:val="1"/>
      <w:numFmt w:val="bullet"/>
      <w:lvlText w:val=""/>
      <w:lvlJc w:val="left"/>
      <w:pPr>
        <w:ind w:left="6480" w:hanging="360"/>
      </w:pPr>
      <w:rPr>
        <w:rFonts w:ascii="Wingdings" w:hAnsi="Wingdings"/>
      </w:rPr>
    </w:lvl>
  </w:abstractNum>
  <w:abstractNum w:abstractNumId="14" w15:restartNumberingAfterBreak="0">
    <w:nsid w:val="3750297C"/>
    <w:multiLevelType w:val="hybridMultilevel"/>
    <w:tmpl w:val="00000000"/>
    <w:lvl w:ilvl="0" w:tplc="D242B378">
      <w:start w:val="1"/>
      <w:numFmt w:val="lowerLetter"/>
      <w:lvlText w:val="%1."/>
      <w:lvlJc w:val="left"/>
      <w:pPr>
        <w:ind w:left="500" w:hanging="360"/>
      </w:pPr>
    </w:lvl>
    <w:lvl w:ilvl="1" w:tplc="78CED1DA">
      <w:start w:val="1"/>
      <w:numFmt w:val="lowerLetter"/>
      <w:lvlText w:val="%2."/>
      <w:lvlJc w:val="left"/>
      <w:pPr>
        <w:ind w:left="1220" w:hanging="360"/>
      </w:pPr>
    </w:lvl>
    <w:lvl w:ilvl="2" w:tplc="2F541768">
      <w:start w:val="1"/>
      <w:numFmt w:val="lowerRoman"/>
      <w:lvlText w:val="%3."/>
      <w:lvlJc w:val="right"/>
      <w:pPr>
        <w:ind w:left="1940" w:hanging="180"/>
      </w:pPr>
    </w:lvl>
    <w:lvl w:ilvl="3" w:tplc="39C20F46">
      <w:start w:val="1"/>
      <w:numFmt w:val="decimal"/>
      <w:lvlText w:val="%4."/>
      <w:lvlJc w:val="left"/>
      <w:pPr>
        <w:ind w:left="2660" w:hanging="360"/>
      </w:pPr>
    </w:lvl>
    <w:lvl w:ilvl="4" w:tplc="5D005606">
      <w:start w:val="1"/>
      <w:numFmt w:val="lowerLetter"/>
      <w:lvlText w:val="%5."/>
      <w:lvlJc w:val="left"/>
      <w:pPr>
        <w:ind w:left="3380" w:hanging="360"/>
      </w:pPr>
    </w:lvl>
    <w:lvl w:ilvl="5" w:tplc="BB90FC94">
      <w:start w:val="1"/>
      <w:numFmt w:val="lowerRoman"/>
      <w:lvlText w:val="%6."/>
      <w:lvlJc w:val="right"/>
      <w:pPr>
        <w:ind w:left="4100" w:hanging="180"/>
      </w:pPr>
    </w:lvl>
    <w:lvl w:ilvl="6" w:tplc="3D36CC58">
      <w:start w:val="1"/>
      <w:numFmt w:val="decimal"/>
      <w:lvlText w:val="%7."/>
      <w:lvlJc w:val="left"/>
      <w:pPr>
        <w:ind w:left="4820" w:hanging="360"/>
      </w:pPr>
    </w:lvl>
    <w:lvl w:ilvl="7" w:tplc="D52C824C">
      <w:start w:val="1"/>
      <w:numFmt w:val="lowerLetter"/>
      <w:lvlText w:val="%8."/>
      <w:lvlJc w:val="left"/>
      <w:pPr>
        <w:ind w:left="5540" w:hanging="360"/>
      </w:pPr>
    </w:lvl>
    <w:lvl w:ilvl="8" w:tplc="300E08CA">
      <w:start w:val="1"/>
      <w:numFmt w:val="lowerRoman"/>
      <w:lvlText w:val="%9."/>
      <w:lvlJc w:val="right"/>
      <w:pPr>
        <w:ind w:left="6260" w:hanging="180"/>
      </w:pPr>
    </w:lvl>
  </w:abstractNum>
  <w:abstractNum w:abstractNumId="15" w15:restartNumberingAfterBreak="0">
    <w:nsid w:val="38817CE0"/>
    <w:multiLevelType w:val="hybridMultilevel"/>
    <w:tmpl w:val="00000000"/>
    <w:lvl w:ilvl="0" w:tplc="6B8EC72A">
      <w:start w:val="1"/>
      <w:numFmt w:val="lowerLetter"/>
      <w:lvlText w:val="%1."/>
      <w:lvlJc w:val="left"/>
      <w:pPr>
        <w:ind w:left="720" w:hanging="360"/>
      </w:pPr>
    </w:lvl>
    <w:lvl w:ilvl="1" w:tplc="521213AA">
      <w:start w:val="1"/>
      <w:numFmt w:val="lowerLetter"/>
      <w:lvlText w:val="%2."/>
      <w:lvlJc w:val="left"/>
      <w:pPr>
        <w:ind w:left="1440" w:hanging="360"/>
      </w:pPr>
    </w:lvl>
    <w:lvl w:ilvl="2" w:tplc="DB8C0772">
      <w:start w:val="1"/>
      <w:numFmt w:val="lowerRoman"/>
      <w:lvlText w:val="%3."/>
      <w:lvlJc w:val="right"/>
      <w:pPr>
        <w:ind w:left="2160" w:hanging="180"/>
      </w:pPr>
    </w:lvl>
    <w:lvl w:ilvl="3" w:tplc="0A9A05B2">
      <w:start w:val="1"/>
      <w:numFmt w:val="decimal"/>
      <w:lvlText w:val="%4."/>
      <w:lvlJc w:val="left"/>
      <w:pPr>
        <w:ind w:left="2880" w:hanging="360"/>
      </w:pPr>
    </w:lvl>
    <w:lvl w:ilvl="4" w:tplc="B986C606">
      <w:start w:val="1"/>
      <w:numFmt w:val="lowerLetter"/>
      <w:lvlText w:val="%5."/>
      <w:lvlJc w:val="left"/>
      <w:pPr>
        <w:ind w:left="3600" w:hanging="360"/>
      </w:pPr>
    </w:lvl>
    <w:lvl w:ilvl="5" w:tplc="5502C1A0">
      <w:start w:val="1"/>
      <w:numFmt w:val="lowerRoman"/>
      <w:lvlText w:val="%6."/>
      <w:lvlJc w:val="right"/>
      <w:pPr>
        <w:ind w:left="4320" w:hanging="180"/>
      </w:pPr>
    </w:lvl>
    <w:lvl w:ilvl="6" w:tplc="D2242452">
      <w:start w:val="1"/>
      <w:numFmt w:val="decimal"/>
      <w:lvlText w:val="%7."/>
      <w:lvlJc w:val="left"/>
      <w:pPr>
        <w:ind w:left="5040" w:hanging="360"/>
      </w:pPr>
    </w:lvl>
    <w:lvl w:ilvl="7" w:tplc="DD76B16E">
      <w:start w:val="1"/>
      <w:numFmt w:val="lowerLetter"/>
      <w:lvlText w:val="%8."/>
      <w:lvlJc w:val="left"/>
      <w:pPr>
        <w:ind w:left="5760" w:hanging="360"/>
      </w:pPr>
    </w:lvl>
    <w:lvl w:ilvl="8" w:tplc="3EF0F4B8">
      <w:start w:val="1"/>
      <w:numFmt w:val="lowerRoman"/>
      <w:lvlText w:val="%9."/>
      <w:lvlJc w:val="right"/>
      <w:pPr>
        <w:ind w:left="6480" w:hanging="180"/>
      </w:pPr>
    </w:lvl>
  </w:abstractNum>
  <w:abstractNum w:abstractNumId="16" w15:restartNumberingAfterBreak="0">
    <w:nsid w:val="3A5335AB"/>
    <w:multiLevelType w:val="hybridMultilevel"/>
    <w:tmpl w:val="00000000"/>
    <w:lvl w:ilvl="0" w:tplc="0E32F01C">
      <w:start w:val="2"/>
      <w:numFmt w:val="decimal"/>
      <w:lvlText w:val="%1."/>
      <w:lvlJc w:val="left"/>
      <w:pPr>
        <w:ind w:left="720" w:hanging="360"/>
      </w:pPr>
      <w:rPr>
        <w:i w:val="0"/>
      </w:rPr>
    </w:lvl>
    <w:lvl w:ilvl="1" w:tplc="1CD8FCBA">
      <w:start w:val="1"/>
      <w:numFmt w:val="lowerLetter"/>
      <w:lvlText w:val="%2."/>
      <w:lvlJc w:val="left"/>
      <w:pPr>
        <w:ind w:left="1440" w:hanging="360"/>
      </w:pPr>
    </w:lvl>
    <w:lvl w:ilvl="2" w:tplc="2F3C8188">
      <w:start w:val="1"/>
      <w:numFmt w:val="lowerRoman"/>
      <w:lvlText w:val="%3."/>
      <w:lvlJc w:val="right"/>
      <w:pPr>
        <w:ind w:left="2160" w:hanging="180"/>
      </w:pPr>
    </w:lvl>
    <w:lvl w:ilvl="3" w:tplc="DEB205C0">
      <w:start w:val="1"/>
      <w:numFmt w:val="decimal"/>
      <w:lvlText w:val="%4."/>
      <w:lvlJc w:val="left"/>
      <w:pPr>
        <w:ind w:left="2880" w:hanging="360"/>
      </w:pPr>
    </w:lvl>
    <w:lvl w:ilvl="4" w:tplc="02642108">
      <w:start w:val="1"/>
      <w:numFmt w:val="lowerLetter"/>
      <w:lvlText w:val="%5."/>
      <w:lvlJc w:val="left"/>
      <w:pPr>
        <w:ind w:left="3600" w:hanging="360"/>
      </w:pPr>
    </w:lvl>
    <w:lvl w:ilvl="5" w:tplc="8746F472">
      <w:start w:val="1"/>
      <w:numFmt w:val="lowerRoman"/>
      <w:lvlText w:val="%6."/>
      <w:lvlJc w:val="right"/>
      <w:pPr>
        <w:ind w:left="4320" w:hanging="180"/>
      </w:pPr>
    </w:lvl>
    <w:lvl w:ilvl="6" w:tplc="6388CD12">
      <w:start w:val="1"/>
      <w:numFmt w:val="decimal"/>
      <w:lvlText w:val="%7."/>
      <w:lvlJc w:val="left"/>
      <w:pPr>
        <w:ind w:left="5040" w:hanging="360"/>
      </w:pPr>
    </w:lvl>
    <w:lvl w:ilvl="7" w:tplc="EBC4530E">
      <w:start w:val="1"/>
      <w:numFmt w:val="lowerLetter"/>
      <w:lvlText w:val="%8."/>
      <w:lvlJc w:val="left"/>
      <w:pPr>
        <w:ind w:left="5760" w:hanging="360"/>
      </w:pPr>
    </w:lvl>
    <w:lvl w:ilvl="8" w:tplc="C39A80F8">
      <w:start w:val="1"/>
      <w:numFmt w:val="lowerRoman"/>
      <w:lvlText w:val="%9."/>
      <w:lvlJc w:val="right"/>
      <w:pPr>
        <w:ind w:left="6480" w:hanging="180"/>
      </w:pPr>
    </w:lvl>
  </w:abstractNum>
  <w:abstractNum w:abstractNumId="17" w15:restartNumberingAfterBreak="0">
    <w:nsid w:val="42D40F2D"/>
    <w:multiLevelType w:val="hybridMultilevel"/>
    <w:tmpl w:val="00000000"/>
    <w:lvl w:ilvl="0" w:tplc="DF84720A">
      <w:start w:val="1"/>
      <w:numFmt w:val="lowerLetter"/>
      <w:lvlText w:val="%1)"/>
      <w:lvlJc w:val="left"/>
      <w:pPr>
        <w:ind w:left="360" w:hanging="360"/>
      </w:pPr>
    </w:lvl>
    <w:lvl w:ilvl="1" w:tplc="5C4E8E5A">
      <w:start w:val="1"/>
      <w:numFmt w:val="lowerLetter"/>
      <w:lvlText w:val="%2)"/>
      <w:lvlJc w:val="left"/>
      <w:pPr>
        <w:ind w:left="1080" w:hanging="360"/>
      </w:pPr>
    </w:lvl>
    <w:lvl w:ilvl="2" w:tplc="789EA22A">
      <w:start w:val="1"/>
      <w:numFmt w:val="lowerRoman"/>
      <w:lvlText w:val="%3."/>
      <w:lvlJc w:val="right"/>
      <w:pPr>
        <w:ind w:left="1800" w:hanging="180"/>
      </w:pPr>
    </w:lvl>
    <w:lvl w:ilvl="3" w:tplc="8F32EA12">
      <w:start w:val="1"/>
      <w:numFmt w:val="decimal"/>
      <w:lvlText w:val="%4."/>
      <w:lvlJc w:val="left"/>
      <w:pPr>
        <w:ind w:left="2520" w:hanging="360"/>
      </w:pPr>
    </w:lvl>
    <w:lvl w:ilvl="4" w:tplc="67C44832">
      <w:start w:val="1"/>
      <w:numFmt w:val="lowerLetter"/>
      <w:lvlText w:val="%5."/>
      <w:lvlJc w:val="left"/>
      <w:pPr>
        <w:ind w:left="3240" w:hanging="360"/>
      </w:pPr>
    </w:lvl>
    <w:lvl w:ilvl="5" w:tplc="1258194C">
      <w:start w:val="1"/>
      <w:numFmt w:val="lowerRoman"/>
      <w:lvlText w:val="%6."/>
      <w:lvlJc w:val="right"/>
      <w:pPr>
        <w:ind w:left="3960" w:hanging="180"/>
      </w:pPr>
    </w:lvl>
    <w:lvl w:ilvl="6" w:tplc="E6004D8E">
      <w:start w:val="1"/>
      <w:numFmt w:val="decimal"/>
      <w:lvlText w:val="%7."/>
      <w:lvlJc w:val="left"/>
      <w:pPr>
        <w:ind w:left="4680" w:hanging="360"/>
      </w:pPr>
    </w:lvl>
    <w:lvl w:ilvl="7" w:tplc="B24812AA">
      <w:start w:val="1"/>
      <w:numFmt w:val="lowerLetter"/>
      <w:lvlText w:val="%8."/>
      <w:lvlJc w:val="left"/>
      <w:pPr>
        <w:ind w:left="5400" w:hanging="360"/>
      </w:pPr>
    </w:lvl>
    <w:lvl w:ilvl="8" w:tplc="4336D0E8">
      <w:start w:val="1"/>
      <w:numFmt w:val="lowerRoman"/>
      <w:lvlText w:val="%9."/>
      <w:lvlJc w:val="right"/>
      <w:pPr>
        <w:ind w:left="6120" w:hanging="180"/>
      </w:pPr>
    </w:lvl>
  </w:abstractNum>
  <w:abstractNum w:abstractNumId="18" w15:restartNumberingAfterBreak="0">
    <w:nsid w:val="44041AD0"/>
    <w:multiLevelType w:val="hybridMultilevel"/>
    <w:tmpl w:val="00000000"/>
    <w:lvl w:ilvl="0" w:tplc="2FDED732">
      <w:start w:val="1"/>
      <w:numFmt w:val="lowerLetter"/>
      <w:lvlText w:val="%1)"/>
      <w:lvlJc w:val="left"/>
      <w:pPr>
        <w:ind w:left="1429" w:hanging="360"/>
      </w:pPr>
    </w:lvl>
    <w:lvl w:ilvl="1" w:tplc="5C5483FE">
      <w:start w:val="1"/>
      <w:numFmt w:val="lowerLetter"/>
      <w:lvlText w:val="%2."/>
      <w:lvlJc w:val="left"/>
      <w:pPr>
        <w:ind w:left="2149" w:hanging="360"/>
      </w:pPr>
    </w:lvl>
    <w:lvl w:ilvl="2" w:tplc="3176DD92">
      <w:start w:val="1"/>
      <w:numFmt w:val="lowerRoman"/>
      <w:lvlText w:val="%3."/>
      <w:lvlJc w:val="right"/>
      <w:pPr>
        <w:ind w:left="2869" w:hanging="180"/>
      </w:pPr>
    </w:lvl>
    <w:lvl w:ilvl="3" w:tplc="DC5E87E8">
      <w:start w:val="1"/>
      <w:numFmt w:val="decimal"/>
      <w:lvlText w:val="%4."/>
      <w:lvlJc w:val="left"/>
      <w:pPr>
        <w:ind w:left="3589" w:hanging="360"/>
      </w:pPr>
    </w:lvl>
    <w:lvl w:ilvl="4" w:tplc="70665240">
      <w:start w:val="1"/>
      <w:numFmt w:val="lowerLetter"/>
      <w:lvlText w:val="%5."/>
      <w:lvlJc w:val="left"/>
      <w:pPr>
        <w:ind w:left="4309" w:hanging="360"/>
      </w:pPr>
    </w:lvl>
    <w:lvl w:ilvl="5" w:tplc="EEC45FB8">
      <w:start w:val="1"/>
      <w:numFmt w:val="lowerRoman"/>
      <w:lvlText w:val="%6."/>
      <w:lvlJc w:val="right"/>
      <w:pPr>
        <w:ind w:left="5029" w:hanging="180"/>
      </w:pPr>
    </w:lvl>
    <w:lvl w:ilvl="6" w:tplc="AFD88FFC">
      <w:start w:val="1"/>
      <w:numFmt w:val="decimal"/>
      <w:lvlText w:val="%7."/>
      <w:lvlJc w:val="left"/>
      <w:pPr>
        <w:ind w:left="5749" w:hanging="360"/>
      </w:pPr>
    </w:lvl>
    <w:lvl w:ilvl="7" w:tplc="5CCA4A46">
      <w:start w:val="1"/>
      <w:numFmt w:val="lowerLetter"/>
      <w:lvlText w:val="%8."/>
      <w:lvlJc w:val="left"/>
      <w:pPr>
        <w:ind w:left="6469" w:hanging="360"/>
      </w:pPr>
    </w:lvl>
    <w:lvl w:ilvl="8" w:tplc="CB840E94">
      <w:start w:val="1"/>
      <w:numFmt w:val="lowerRoman"/>
      <w:lvlText w:val="%9."/>
      <w:lvlJc w:val="right"/>
      <w:pPr>
        <w:ind w:left="7189" w:hanging="180"/>
      </w:pPr>
    </w:lvl>
  </w:abstractNum>
  <w:abstractNum w:abstractNumId="19" w15:restartNumberingAfterBreak="0">
    <w:nsid w:val="44D26E13"/>
    <w:multiLevelType w:val="hybridMultilevel"/>
    <w:tmpl w:val="00000000"/>
    <w:lvl w:ilvl="0" w:tplc="22E05D0E">
      <w:start w:val="1"/>
      <w:numFmt w:val="lowerLetter"/>
      <w:lvlText w:val="%1)"/>
      <w:lvlJc w:val="left"/>
      <w:pPr>
        <w:ind w:left="720" w:hanging="360"/>
      </w:pPr>
    </w:lvl>
    <w:lvl w:ilvl="1" w:tplc="5CA46636">
      <w:start w:val="1"/>
      <w:numFmt w:val="lowerLetter"/>
      <w:lvlText w:val="%2."/>
      <w:lvlJc w:val="left"/>
      <w:pPr>
        <w:ind w:left="1440" w:hanging="360"/>
      </w:pPr>
    </w:lvl>
    <w:lvl w:ilvl="2" w:tplc="A686D5EE">
      <w:start w:val="1"/>
      <w:numFmt w:val="lowerRoman"/>
      <w:lvlText w:val="%3."/>
      <w:lvlJc w:val="right"/>
      <w:pPr>
        <w:ind w:left="2160" w:hanging="180"/>
      </w:pPr>
    </w:lvl>
    <w:lvl w:ilvl="3" w:tplc="9E2A1A54">
      <w:start w:val="1"/>
      <w:numFmt w:val="decimal"/>
      <w:lvlText w:val="%4."/>
      <w:lvlJc w:val="left"/>
      <w:pPr>
        <w:ind w:left="2880" w:hanging="360"/>
      </w:pPr>
    </w:lvl>
    <w:lvl w:ilvl="4" w:tplc="5AF4A562">
      <w:start w:val="1"/>
      <w:numFmt w:val="lowerLetter"/>
      <w:lvlText w:val="%5."/>
      <w:lvlJc w:val="left"/>
      <w:pPr>
        <w:ind w:left="3600" w:hanging="360"/>
      </w:pPr>
    </w:lvl>
    <w:lvl w:ilvl="5" w:tplc="27262378">
      <w:start w:val="1"/>
      <w:numFmt w:val="lowerRoman"/>
      <w:lvlText w:val="%6."/>
      <w:lvlJc w:val="right"/>
      <w:pPr>
        <w:ind w:left="4320" w:hanging="180"/>
      </w:pPr>
    </w:lvl>
    <w:lvl w:ilvl="6" w:tplc="38966514">
      <w:start w:val="1"/>
      <w:numFmt w:val="decimal"/>
      <w:lvlText w:val="%7."/>
      <w:lvlJc w:val="left"/>
      <w:pPr>
        <w:ind w:left="5040" w:hanging="360"/>
      </w:pPr>
    </w:lvl>
    <w:lvl w:ilvl="7" w:tplc="16A4E9C2">
      <w:start w:val="1"/>
      <w:numFmt w:val="lowerLetter"/>
      <w:lvlText w:val="%8."/>
      <w:lvlJc w:val="left"/>
      <w:pPr>
        <w:ind w:left="5760" w:hanging="360"/>
      </w:pPr>
    </w:lvl>
    <w:lvl w:ilvl="8" w:tplc="775EBE9A">
      <w:start w:val="1"/>
      <w:numFmt w:val="lowerRoman"/>
      <w:lvlText w:val="%9."/>
      <w:lvlJc w:val="right"/>
      <w:pPr>
        <w:ind w:left="6480" w:hanging="180"/>
      </w:pPr>
    </w:lvl>
  </w:abstractNum>
  <w:abstractNum w:abstractNumId="20" w15:restartNumberingAfterBreak="0">
    <w:nsid w:val="4B0FCF3F"/>
    <w:multiLevelType w:val="hybridMultilevel"/>
    <w:tmpl w:val="00000000"/>
    <w:lvl w:ilvl="0" w:tplc="B8B69F38">
      <w:start w:val="2"/>
      <w:numFmt w:val="decimal"/>
      <w:lvlText w:val="%1."/>
      <w:lvlJc w:val="left"/>
      <w:pPr>
        <w:ind w:left="1227" w:hanging="360"/>
      </w:pPr>
    </w:lvl>
    <w:lvl w:ilvl="1" w:tplc="D11E11AC">
      <w:start w:val="1"/>
      <w:numFmt w:val="lowerLetter"/>
      <w:lvlText w:val="%2."/>
      <w:lvlJc w:val="left"/>
      <w:pPr>
        <w:ind w:left="1947" w:hanging="360"/>
      </w:pPr>
    </w:lvl>
    <w:lvl w:ilvl="2" w:tplc="5A9C8C82">
      <w:start w:val="1"/>
      <w:numFmt w:val="lowerRoman"/>
      <w:lvlText w:val="%3."/>
      <w:lvlJc w:val="right"/>
      <w:pPr>
        <w:ind w:left="2667" w:hanging="180"/>
      </w:pPr>
    </w:lvl>
    <w:lvl w:ilvl="3" w:tplc="CE08A10A">
      <w:start w:val="1"/>
      <w:numFmt w:val="decimal"/>
      <w:lvlText w:val="%4."/>
      <w:lvlJc w:val="left"/>
      <w:pPr>
        <w:ind w:left="3387" w:hanging="360"/>
      </w:pPr>
    </w:lvl>
    <w:lvl w:ilvl="4" w:tplc="7320F8AC">
      <w:start w:val="1"/>
      <w:numFmt w:val="lowerLetter"/>
      <w:lvlText w:val="%5."/>
      <w:lvlJc w:val="left"/>
      <w:pPr>
        <w:ind w:left="4107" w:hanging="360"/>
      </w:pPr>
    </w:lvl>
    <w:lvl w:ilvl="5" w:tplc="9B48A770">
      <w:start w:val="1"/>
      <w:numFmt w:val="lowerRoman"/>
      <w:lvlText w:val="%6."/>
      <w:lvlJc w:val="right"/>
      <w:pPr>
        <w:ind w:left="4827" w:hanging="180"/>
      </w:pPr>
    </w:lvl>
    <w:lvl w:ilvl="6" w:tplc="12DA8D12">
      <w:start w:val="1"/>
      <w:numFmt w:val="decimal"/>
      <w:lvlText w:val="%7."/>
      <w:lvlJc w:val="left"/>
      <w:pPr>
        <w:ind w:left="5547" w:hanging="360"/>
      </w:pPr>
    </w:lvl>
    <w:lvl w:ilvl="7" w:tplc="5E7AF266">
      <w:start w:val="1"/>
      <w:numFmt w:val="lowerLetter"/>
      <w:lvlText w:val="%8."/>
      <w:lvlJc w:val="left"/>
      <w:pPr>
        <w:ind w:left="6267" w:hanging="360"/>
      </w:pPr>
    </w:lvl>
    <w:lvl w:ilvl="8" w:tplc="D52ECA54">
      <w:start w:val="1"/>
      <w:numFmt w:val="lowerRoman"/>
      <w:lvlText w:val="%9."/>
      <w:lvlJc w:val="right"/>
      <w:pPr>
        <w:ind w:left="6987" w:hanging="180"/>
      </w:pPr>
    </w:lvl>
  </w:abstractNum>
  <w:abstractNum w:abstractNumId="21" w15:restartNumberingAfterBreak="0">
    <w:nsid w:val="4C690A4E"/>
    <w:multiLevelType w:val="hybridMultilevel"/>
    <w:tmpl w:val="00000000"/>
    <w:lvl w:ilvl="0" w:tplc="1CF09D50">
      <w:start w:val="1"/>
      <w:numFmt w:val="lowerLetter"/>
      <w:lvlText w:val="%1)"/>
      <w:lvlJc w:val="left"/>
      <w:pPr>
        <w:ind w:left="1429" w:hanging="360"/>
      </w:pPr>
    </w:lvl>
    <w:lvl w:ilvl="1" w:tplc="729425E6">
      <w:start w:val="1"/>
      <w:numFmt w:val="lowerLetter"/>
      <w:lvlText w:val="%2."/>
      <w:lvlJc w:val="left"/>
      <w:pPr>
        <w:ind w:left="2149" w:hanging="360"/>
      </w:pPr>
    </w:lvl>
    <w:lvl w:ilvl="2" w:tplc="545E014C">
      <w:start w:val="1"/>
      <w:numFmt w:val="lowerRoman"/>
      <w:lvlText w:val="%3."/>
      <w:lvlJc w:val="right"/>
      <w:pPr>
        <w:ind w:left="2869" w:hanging="180"/>
      </w:pPr>
    </w:lvl>
    <w:lvl w:ilvl="3" w:tplc="29DC1F94">
      <w:start w:val="1"/>
      <w:numFmt w:val="decimal"/>
      <w:lvlText w:val="%4."/>
      <w:lvlJc w:val="left"/>
      <w:pPr>
        <w:ind w:left="3589" w:hanging="360"/>
      </w:pPr>
    </w:lvl>
    <w:lvl w:ilvl="4" w:tplc="C2CA709E">
      <w:start w:val="1"/>
      <w:numFmt w:val="lowerLetter"/>
      <w:lvlText w:val="%5."/>
      <w:lvlJc w:val="left"/>
      <w:pPr>
        <w:ind w:left="4309" w:hanging="360"/>
      </w:pPr>
    </w:lvl>
    <w:lvl w:ilvl="5" w:tplc="F900F646">
      <w:start w:val="1"/>
      <w:numFmt w:val="lowerRoman"/>
      <w:lvlText w:val="%6."/>
      <w:lvlJc w:val="right"/>
      <w:pPr>
        <w:ind w:left="5029" w:hanging="180"/>
      </w:pPr>
    </w:lvl>
    <w:lvl w:ilvl="6" w:tplc="914EF066">
      <w:start w:val="1"/>
      <w:numFmt w:val="decimal"/>
      <w:lvlText w:val="%7."/>
      <w:lvlJc w:val="left"/>
      <w:pPr>
        <w:ind w:left="5749" w:hanging="360"/>
      </w:pPr>
    </w:lvl>
    <w:lvl w:ilvl="7" w:tplc="182483BA">
      <w:start w:val="1"/>
      <w:numFmt w:val="lowerLetter"/>
      <w:lvlText w:val="%8."/>
      <w:lvlJc w:val="left"/>
      <w:pPr>
        <w:ind w:left="6469" w:hanging="360"/>
      </w:pPr>
    </w:lvl>
    <w:lvl w:ilvl="8" w:tplc="0A5CD4F2">
      <w:start w:val="1"/>
      <w:numFmt w:val="lowerRoman"/>
      <w:lvlText w:val="%9."/>
      <w:lvlJc w:val="right"/>
      <w:pPr>
        <w:ind w:left="7189" w:hanging="180"/>
      </w:pPr>
    </w:lvl>
  </w:abstractNum>
  <w:abstractNum w:abstractNumId="22" w15:restartNumberingAfterBreak="0">
    <w:nsid w:val="4C726BF1"/>
    <w:multiLevelType w:val="hybridMultilevel"/>
    <w:tmpl w:val="00000000"/>
    <w:lvl w:ilvl="0" w:tplc="3D4CE5DE">
      <w:start w:val="1"/>
      <w:numFmt w:val="decimal"/>
      <w:lvlText w:val="%1."/>
      <w:lvlJc w:val="left"/>
      <w:pPr>
        <w:ind w:left="720" w:hanging="360"/>
      </w:pPr>
    </w:lvl>
    <w:lvl w:ilvl="1" w:tplc="09CC3E8E">
      <w:start w:val="1"/>
      <w:numFmt w:val="lowerLetter"/>
      <w:lvlText w:val="%2."/>
      <w:lvlJc w:val="left"/>
      <w:pPr>
        <w:ind w:left="1440" w:hanging="360"/>
      </w:pPr>
    </w:lvl>
    <w:lvl w:ilvl="2" w:tplc="6164B20E">
      <w:start w:val="1"/>
      <w:numFmt w:val="lowerRoman"/>
      <w:lvlText w:val="%3."/>
      <w:lvlJc w:val="right"/>
      <w:pPr>
        <w:ind w:left="2160" w:hanging="180"/>
      </w:pPr>
    </w:lvl>
    <w:lvl w:ilvl="3" w:tplc="3E546748">
      <w:start w:val="1"/>
      <w:numFmt w:val="decimal"/>
      <w:lvlText w:val="%4."/>
      <w:lvlJc w:val="left"/>
      <w:pPr>
        <w:ind w:left="2880" w:hanging="360"/>
      </w:pPr>
    </w:lvl>
    <w:lvl w:ilvl="4" w:tplc="C86A346A">
      <w:start w:val="1"/>
      <w:numFmt w:val="lowerLetter"/>
      <w:lvlText w:val="%5."/>
      <w:lvlJc w:val="left"/>
      <w:pPr>
        <w:ind w:left="3600" w:hanging="360"/>
      </w:pPr>
    </w:lvl>
    <w:lvl w:ilvl="5" w:tplc="521C9300">
      <w:start w:val="1"/>
      <w:numFmt w:val="lowerRoman"/>
      <w:lvlText w:val="%6."/>
      <w:lvlJc w:val="right"/>
      <w:pPr>
        <w:ind w:left="4320" w:hanging="180"/>
      </w:pPr>
    </w:lvl>
    <w:lvl w:ilvl="6" w:tplc="D81A05AA">
      <w:start w:val="1"/>
      <w:numFmt w:val="decimal"/>
      <w:lvlText w:val="%7."/>
      <w:lvlJc w:val="left"/>
      <w:pPr>
        <w:ind w:left="5040" w:hanging="360"/>
      </w:pPr>
    </w:lvl>
    <w:lvl w:ilvl="7" w:tplc="B6DEFB4A">
      <w:start w:val="1"/>
      <w:numFmt w:val="lowerLetter"/>
      <w:lvlText w:val="%8."/>
      <w:lvlJc w:val="left"/>
      <w:pPr>
        <w:ind w:left="5760" w:hanging="360"/>
      </w:pPr>
    </w:lvl>
    <w:lvl w:ilvl="8" w:tplc="F5FEC26E">
      <w:start w:val="1"/>
      <w:numFmt w:val="lowerRoman"/>
      <w:lvlText w:val="%9."/>
      <w:lvlJc w:val="right"/>
      <w:pPr>
        <w:ind w:left="6480" w:hanging="180"/>
      </w:pPr>
    </w:lvl>
  </w:abstractNum>
  <w:abstractNum w:abstractNumId="23" w15:restartNumberingAfterBreak="0">
    <w:nsid w:val="4F6D46C8"/>
    <w:multiLevelType w:val="hybridMultilevel"/>
    <w:tmpl w:val="00000000"/>
    <w:lvl w:ilvl="0" w:tplc="52B0B382">
      <w:start w:val="1"/>
      <w:numFmt w:val="decimal"/>
      <w:lvlText w:val="%1."/>
      <w:lvlJc w:val="left"/>
      <w:pPr>
        <w:ind w:left="720" w:hanging="360"/>
      </w:pPr>
      <w:rPr>
        <w:rFonts w:ascii="Times New Roman" w:hAnsi="Times New Roman"/>
        <w:b w:val="0"/>
        <w:i w:val="0"/>
        <w:color w:val="000000"/>
        <w:sz w:val="24"/>
      </w:rPr>
    </w:lvl>
    <w:lvl w:ilvl="1" w:tplc="F5FAFFC6">
      <w:start w:val="1"/>
      <w:numFmt w:val="lowerLetter"/>
      <w:lvlText w:val="%2."/>
      <w:lvlJc w:val="left"/>
      <w:pPr>
        <w:ind w:left="1440" w:hanging="360"/>
      </w:pPr>
    </w:lvl>
    <w:lvl w:ilvl="2" w:tplc="F3B02976">
      <w:start w:val="1"/>
      <w:numFmt w:val="lowerRoman"/>
      <w:lvlText w:val="%3."/>
      <w:lvlJc w:val="right"/>
      <w:pPr>
        <w:ind w:left="2160" w:hanging="180"/>
      </w:pPr>
    </w:lvl>
    <w:lvl w:ilvl="3" w:tplc="0EBA6F32">
      <w:start w:val="1"/>
      <w:numFmt w:val="decimal"/>
      <w:lvlText w:val="%4."/>
      <w:lvlJc w:val="left"/>
      <w:pPr>
        <w:ind w:left="2880" w:hanging="360"/>
      </w:pPr>
    </w:lvl>
    <w:lvl w:ilvl="4" w:tplc="35FEA6C2">
      <w:start w:val="1"/>
      <w:numFmt w:val="lowerLetter"/>
      <w:lvlText w:val="%5."/>
      <w:lvlJc w:val="left"/>
      <w:pPr>
        <w:ind w:left="3600" w:hanging="360"/>
      </w:pPr>
    </w:lvl>
    <w:lvl w:ilvl="5" w:tplc="080859A2">
      <w:start w:val="1"/>
      <w:numFmt w:val="lowerRoman"/>
      <w:lvlText w:val="%6."/>
      <w:lvlJc w:val="right"/>
      <w:pPr>
        <w:ind w:left="4320" w:hanging="180"/>
      </w:pPr>
    </w:lvl>
    <w:lvl w:ilvl="6" w:tplc="1FCE7D58">
      <w:start w:val="1"/>
      <w:numFmt w:val="decimal"/>
      <w:lvlText w:val="%7."/>
      <w:lvlJc w:val="left"/>
      <w:pPr>
        <w:ind w:left="5040" w:hanging="360"/>
      </w:pPr>
    </w:lvl>
    <w:lvl w:ilvl="7" w:tplc="40741B1C">
      <w:start w:val="1"/>
      <w:numFmt w:val="lowerLetter"/>
      <w:lvlText w:val="%8."/>
      <w:lvlJc w:val="left"/>
      <w:pPr>
        <w:ind w:left="5760" w:hanging="360"/>
      </w:pPr>
    </w:lvl>
    <w:lvl w:ilvl="8" w:tplc="6FEE8D44">
      <w:start w:val="1"/>
      <w:numFmt w:val="lowerRoman"/>
      <w:lvlText w:val="%9."/>
      <w:lvlJc w:val="right"/>
      <w:pPr>
        <w:ind w:left="6480" w:hanging="180"/>
      </w:pPr>
    </w:lvl>
  </w:abstractNum>
  <w:abstractNum w:abstractNumId="24" w15:restartNumberingAfterBreak="0">
    <w:nsid w:val="508A7C35"/>
    <w:multiLevelType w:val="hybridMultilevel"/>
    <w:tmpl w:val="00000000"/>
    <w:lvl w:ilvl="0" w:tplc="57C0F17C">
      <w:start w:val="1"/>
      <w:numFmt w:val="lowerLetter"/>
      <w:lvlText w:val="%1."/>
      <w:lvlJc w:val="left"/>
      <w:pPr>
        <w:ind w:left="642" w:hanging="360"/>
      </w:pPr>
    </w:lvl>
    <w:lvl w:ilvl="1" w:tplc="D1ECF220">
      <w:start w:val="1"/>
      <w:numFmt w:val="lowerLetter"/>
      <w:lvlText w:val="%2."/>
      <w:lvlJc w:val="left"/>
      <w:pPr>
        <w:ind w:left="1362" w:hanging="360"/>
      </w:pPr>
    </w:lvl>
    <w:lvl w:ilvl="2" w:tplc="3692F04A">
      <w:start w:val="1"/>
      <w:numFmt w:val="lowerRoman"/>
      <w:lvlText w:val="%3."/>
      <w:lvlJc w:val="right"/>
      <w:pPr>
        <w:ind w:left="2082" w:hanging="180"/>
      </w:pPr>
    </w:lvl>
    <w:lvl w:ilvl="3" w:tplc="E6481340">
      <w:start w:val="1"/>
      <w:numFmt w:val="decimal"/>
      <w:lvlText w:val="%4."/>
      <w:lvlJc w:val="left"/>
      <w:pPr>
        <w:ind w:left="2802" w:hanging="360"/>
      </w:pPr>
    </w:lvl>
    <w:lvl w:ilvl="4" w:tplc="C9F8B290">
      <w:start w:val="1"/>
      <w:numFmt w:val="lowerLetter"/>
      <w:lvlText w:val="%5."/>
      <w:lvlJc w:val="left"/>
      <w:pPr>
        <w:ind w:left="3522" w:hanging="360"/>
      </w:pPr>
    </w:lvl>
    <w:lvl w:ilvl="5" w:tplc="C47411B8">
      <w:start w:val="1"/>
      <w:numFmt w:val="lowerRoman"/>
      <w:lvlText w:val="%6."/>
      <w:lvlJc w:val="right"/>
      <w:pPr>
        <w:ind w:left="4242" w:hanging="180"/>
      </w:pPr>
    </w:lvl>
    <w:lvl w:ilvl="6" w:tplc="40F6A204">
      <w:start w:val="1"/>
      <w:numFmt w:val="decimal"/>
      <w:lvlText w:val="%7."/>
      <w:lvlJc w:val="left"/>
      <w:pPr>
        <w:ind w:left="4962" w:hanging="360"/>
      </w:pPr>
    </w:lvl>
    <w:lvl w:ilvl="7" w:tplc="10444B8C">
      <w:start w:val="1"/>
      <w:numFmt w:val="lowerLetter"/>
      <w:lvlText w:val="%8."/>
      <w:lvlJc w:val="left"/>
      <w:pPr>
        <w:ind w:left="5682" w:hanging="360"/>
      </w:pPr>
    </w:lvl>
    <w:lvl w:ilvl="8" w:tplc="A86809A0">
      <w:start w:val="1"/>
      <w:numFmt w:val="lowerRoman"/>
      <w:lvlText w:val="%9."/>
      <w:lvlJc w:val="right"/>
      <w:pPr>
        <w:ind w:left="6402" w:hanging="180"/>
      </w:pPr>
    </w:lvl>
  </w:abstractNum>
  <w:abstractNum w:abstractNumId="25" w15:restartNumberingAfterBreak="0">
    <w:nsid w:val="57757C0C"/>
    <w:multiLevelType w:val="hybridMultilevel"/>
    <w:tmpl w:val="00000000"/>
    <w:lvl w:ilvl="0" w:tplc="8E1C2A16">
      <w:start w:val="1"/>
      <w:numFmt w:val="bullet"/>
      <w:lvlText w:val=""/>
      <w:lvlJc w:val="left"/>
      <w:pPr>
        <w:ind w:left="720" w:hanging="360"/>
      </w:pPr>
      <w:rPr>
        <w:rFonts w:ascii="Wingdings" w:hAnsi="Wingdings"/>
      </w:rPr>
    </w:lvl>
    <w:lvl w:ilvl="1" w:tplc="F0B4C740">
      <w:start w:val="1"/>
      <w:numFmt w:val="bullet"/>
      <w:lvlText w:val="o"/>
      <w:lvlJc w:val="left"/>
      <w:pPr>
        <w:ind w:left="1440" w:hanging="360"/>
      </w:pPr>
      <w:rPr>
        <w:rFonts w:ascii="Courier New" w:hAnsi="Courier New"/>
      </w:rPr>
    </w:lvl>
    <w:lvl w:ilvl="2" w:tplc="6C64A090">
      <w:start w:val="1"/>
      <w:numFmt w:val="bullet"/>
      <w:lvlText w:val=""/>
      <w:lvlJc w:val="left"/>
      <w:pPr>
        <w:ind w:left="2160" w:hanging="360"/>
      </w:pPr>
      <w:rPr>
        <w:rFonts w:ascii="Wingdings" w:hAnsi="Wingdings"/>
      </w:rPr>
    </w:lvl>
    <w:lvl w:ilvl="3" w:tplc="338E483C">
      <w:start w:val="1"/>
      <w:numFmt w:val="bullet"/>
      <w:lvlText w:val=""/>
      <w:lvlJc w:val="left"/>
      <w:pPr>
        <w:ind w:left="2880" w:hanging="360"/>
      </w:pPr>
      <w:rPr>
        <w:rFonts w:ascii="Symbol" w:hAnsi="Symbol"/>
      </w:rPr>
    </w:lvl>
    <w:lvl w:ilvl="4" w:tplc="AE602944">
      <w:start w:val="1"/>
      <w:numFmt w:val="bullet"/>
      <w:lvlText w:val="o"/>
      <w:lvlJc w:val="left"/>
      <w:pPr>
        <w:ind w:left="3600" w:hanging="360"/>
      </w:pPr>
      <w:rPr>
        <w:rFonts w:ascii="Courier New" w:hAnsi="Courier New"/>
      </w:rPr>
    </w:lvl>
    <w:lvl w:ilvl="5" w:tplc="85465A3C">
      <w:start w:val="1"/>
      <w:numFmt w:val="bullet"/>
      <w:lvlText w:val=""/>
      <w:lvlJc w:val="left"/>
      <w:pPr>
        <w:ind w:left="4320" w:hanging="360"/>
      </w:pPr>
      <w:rPr>
        <w:rFonts w:ascii="Wingdings" w:hAnsi="Wingdings"/>
      </w:rPr>
    </w:lvl>
    <w:lvl w:ilvl="6" w:tplc="0D48DA7E">
      <w:start w:val="1"/>
      <w:numFmt w:val="bullet"/>
      <w:lvlText w:val=""/>
      <w:lvlJc w:val="left"/>
      <w:pPr>
        <w:ind w:left="5040" w:hanging="360"/>
      </w:pPr>
      <w:rPr>
        <w:rFonts w:ascii="Symbol" w:hAnsi="Symbol"/>
      </w:rPr>
    </w:lvl>
    <w:lvl w:ilvl="7" w:tplc="A002E91A">
      <w:start w:val="1"/>
      <w:numFmt w:val="bullet"/>
      <w:lvlText w:val="o"/>
      <w:lvlJc w:val="left"/>
      <w:pPr>
        <w:ind w:left="5760" w:hanging="360"/>
      </w:pPr>
      <w:rPr>
        <w:rFonts w:ascii="Courier New" w:hAnsi="Courier New"/>
      </w:rPr>
    </w:lvl>
    <w:lvl w:ilvl="8" w:tplc="41BAE2EC">
      <w:start w:val="1"/>
      <w:numFmt w:val="bullet"/>
      <w:lvlText w:val=""/>
      <w:lvlJc w:val="left"/>
      <w:pPr>
        <w:ind w:left="6480" w:hanging="360"/>
      </w:pPr>
      <w:rPr>
        <w:rFonts w:ascii="Wingdings" w:hAnsi="Wingdings"/>
      </w:rPr>
    </w:lvl>
  </w:abstractNum>
  <w:abstractNum w:abstractNumId="26" w15:restartNumberingAfterBreak="0">
    <w:nsid w:val="5AE42BBE"/>
    <w:multiLevelType w:val="hybridMultilevel"/>
    <w:tmpl w:val="00000000"/>
    <w:lvl w:ilvl="0" w:tplc="A1389408">
      <w:start w:val="1"/>
      <w:numFmt w:val="lowerLetter"/>
      <w:lvlText w:val="%1)"/>
      <w:lvlJc w:val="left"/>
      <w:pPr>
        <w:ind w:left="1080" w:hanging="360"/>
      </w:pPr>
    </w:lvl>
    <w:lvl w:ilvl="1" w:tplc="8D7EC390">
      <w:start w:val="1"/>
      <w:numFmt w:val="lowerLetter"/>
      <w:lvlText w:val="%2."/>
      <w:lvlJc w:val="left"/>
      <w:pPr>
        <w:ind w:left="1800" w:hanging="360"/>
      </w:pPr>
    </w:lvl>
    <w:lvl w:ilvl="2" w:tplc="F70056D8">
      <w:start w:val="1"/>
      <w:numFmt w:val="lowerRoman"/>
      <w:lvlText w:val="%3."/>
      <w:lvlJc w:val="right"/>
      <w:pPr>
        <w:ind w:left="2520" w:hanging="180"/>
      </w:pPr>
    </w:lvl>
    <w:lvl w:ilvl="3" w:tplc="192E4D8E">
      <w:start w:val="1"/>
      <w:numFmt w:val="decimal"/>
      <w:lvlText w:val="%4."/>
      <w:lvlJc w:val="left"/>
      <w:pPr>
        <w:ind w:left="3240" w:hanging="360"/>
      </w:pPr>
    </w:lvl>
    <w:lvl w:ilvl="4" w:tplc="BB94B86E">
      <w:start w:val="1"/>
      <w:numFmt w:val="lowerLetter"/>
      <w:lvlText w:val="%5."/>
      <w:lvlJc w:val="left"/>
      <w:pPr>
        <w:ind w:left="3960" w:hanging="360"/>
      </w:pPr>
    </w:lvl>
    <w:lvl w:ilvl="5" w:tplc="C3B4668A">
      <w:start w:val="1"/>
      <w:numFmt w:val="lowerRoman"/>
      <w:lvlText w:val="%6."/>
      <w:lvlJc w:val="right"/>
      <w:pPr>
        <w:ind w:left="4680" w:hanging="180"/>
      </w:pPr>
    </w:lvl>
    <w:lvl w:ilvl="6" w:tplc="43743DD2">
      <w:start w:val="1"/>
      <w:numFmt w:val="decimal"/>
      <w:lvlText w:val="%7."/>
      <w:lvlJc w:val="left"/>
      <w:pPr>
        <w:ind w:left="5400" w:hanging="360"/>
      </w:pPr>
    </w:lvl>
    <w:lvl w:ilvl="7" w:tplc="2F72A718">
      <w:start w:val="1"/>
      <w:numFmt w:val="lowerLetter"/>
      <w:lvlText w:val="%8."/>
      <w:lvlJc w:val="left"/>
      <w:pPr>
        <w:ind w:left="6120" w:hanging="360"/>
      </w:pPr>
    </w:lvl>
    <w:lvl w:ilvl="8" w:tplc="B630C94C">
      <w:start w:val="1"/>
      <w:numFmt w:val="lowerRoman"/>
      <w:lvlText w:val="%9."/>
      <w:lvlJc w:val="right"/>
      <w:pPr>
        <w:ind w:left="6840" w:hanging="180"/>
      </w:pPr>
    </w:lvl>
  </w:abstractNum>
  <w:abstractNum w:abstractNumId="27" w15:restartNumberingAfterBreak="0">
    <w:nsid w:val="6038170E"/>
    <w:multiLevelType w:val="hybridMultilevel"/>
    <w:tmpl w:val="00000000"/>
    <w:lvl w:ilvl="0" w:tplc="0D1C36B0">
      <w:start w:val="1"/>
      <w:numFmt w:val="decimal"/>
      <w:lvlText w:val="%1."/>
      <w:lvlJc w:val="left"/>
      <w:pPr>
        <w:ind w:left="720" w:hanging="360"/>
      </w:pPr>
    </w:lvl>
    <w:lvl w:ilvl="1" w:tplc="5FBC3614">
      <w:start w:val="1"/>
      <w:numFmt w:val="lowerLetter"/>
      <w:lvlText w:val="%2."/>
      <w:lvlJc w:val="left"/>
      <w:pPr>
        <w:ind w:left="1440" w:hanging="360"/>
      </w:pPr>
    </w:lvl>
    <w:lvl w:ilvl="2" w:tplc="11347A2E">
      <w:start w:val="1"/>
      <w:numFmt w:val="lowerRoman"/>
      <w:lvlText w:val="%3."/>
      <w:lvlJc w:val="right"/>
      <w:pPr>
        <w:ind w:left="2160" w:hanging="180"/>
      </w:pPr>
    </w:lvl>
    <w:lvl w:ilvl="3" w:tplc="B18CCD60">
      <w:start w:val="1"/>
      <w:numFmt w:val="decimal"/>
      <w:lvlText w:val="%4."/>
      <w:lvlJc w:val="left"/>
      <w:pPr>
        <w:ind w:left="2880" w:hanging="360"/>
      </w:pPr>
    </w:lvl>
    <w:lvl w:ilvl="4" w:tplc="868C21F2">
      <w:start w:val="1"/>
      <w:numFmt w:val="lowerLetter"/>
      <w:lvlText w:val="%5."/>
      <w:lvlJc w:val="left"/>
      <w:pPr>
        <w:ind w:left="3600" w:hanging="360"/>
      </w:pPr>
    </w:lvl>
    <w:lvl w:ilvl="5" w:tplc="8C7CE620">
      <w:start w:val="1"/>
      <w:numFmt w:val="lowerRoman"/>
      <w:lvlText w:val="%6."/>
      <w:lvlJc w:val="right"/>
      <w:pPr>
        <w:ind w:left="4320" w:hanging="180"/>
      </w:pPr>
    </w:lvl>
    <w:lvl w:ilvl="6" w:tplc="0F268AB6">
      <w:start w:val="1"/>
      <w:numFmt w:val="decimal"/>
      <w:lvlText w:val="%7."/>
      <w:lvlJc w:val="left"/>
      <w:pPr>
        <w:ind w:left="5040" w:hanging="360"/>
      </w:pPr>
    </w:lvl>
    <w:lvl w:ilvl="7" w:tplc="DBE6B828">
      <w:start w:val="1"/>
      <w:numFmt w:val="lowerLetter"/>
      <w:lvlText w:val="%8."/>
      <w:lvlJc w:val="left"/>
      <w:pPr>
        <w:ind w:left="5760" w:hanging="360"/>
      </w:pPr>
    </w:lvl>
    <w:lvl w:ilvl="8" w:tplc="7DE8B278">
      <w:start w:val="1"/>
      <w:numFmt w:val="lowerRoman"/>
      <w:lvlText w:val="%9."/>
      <w:lvlJc w:val="right"/>
      <w:pPr>
        <w:ind w:left="6480" w:hanging="180"/>
      </w:pPr>
    </w:lvl>
  </w:abstractNum>
  <w:abstractNum w:abstractNumId="28" w15:restartNumberingAfterBreak="0">
    <w:nsid w:val="613859CD"/>
    <w:multiLevelType w:val="hybridMultilevel"/>
    <w:tmpl w:val="00000000"/>
    <w:lvl w:ilvl="0" w:tplc="8306FC96">
      <w:start w:val="1"/>
      <w:numFmt w:val="decimal"/>
      <w:lvlText w:val="%1."/>
      <w:lvlJc w:val="left"/>
      <w:pPr>
        <w:ind w:left="360" w:hanging="360"/>
      </w:pPr>
    </w:lvl>
    <w:lvl w:ilvl="1" w:tplc="98C4FF30">
      <w:start w:val="1"/>
      <w:numFmt w:val="lowerLetter"/>
      <w:lvlText w:val="%2)"/>
      <w:lvlJc w:val="left"/>
      <w:pPr>
        <w:ind w:left="1080" w:hanging="360"/>
      </w:pPr>
    </w:lvl>
    <w:lvl w:ilvl="2" w:tplc="79A2DC18">
      <w:start w:val="1"/>
      <w:numFmt w:val="lowerRoman"/>
      <w:lvlText w:val="%3."/>
      <w:lvlJc w:val="right"/>
      <w:pPr>
        <w:ind w:left="1800" w:hanging="180"/>
      </w:pPr>
    </w:lvl>
    <w:lvl w:ilvl="3" w:tplc="0374B76A">
      <w:start w:val="1"/>
      <w:numFmt w:val="decimal"/>
      <w:lvlText w:val="%4."/>
      <w:lvlJc w:val="left"/>
      <w:pPr>
        <w:ind w:left="2520" w:hanging="360"/>
      </w:pPr>
    </w:lvl>
    <w:lvl w:ilvl="4" w:tplc="DE7CE714">
      <w:start w:val="1"/>
      <w:numFmt w:val="lowerLetter"/>
      <w:lvlText w:val="%5."/>
      <w:lvlJc w:val="left"/>
      <w:pPr>
        <w:ind w:left="3240" w:hanging="360"/>
      </w:pPr>
    </w:lvl>
    <w:lvl w:ilvl="5" w:tplc="A58442EC">
      <w:start w:val="1"/>
      <w:numFmt w:val="lowerRoman"/>
      <w:lvlText w:val="%6."/>
      <w:lvlJc w:val="right"/>
      <w:pPr>
        <w:ind w:left="3960" w:hanging="180"/>
      </w:pPr>
    </w:lvl>
    <w:lvl w:ilvl="6" w:tplc="E1529708">
      <w:start w:val="1"/>
      <w:numFmt w:val="decimal"/>
      <w:lvlText w:val="%7."/>
      <w:lvlJc w:val="left"/>
      <w:pPr>
        <w:ind w:left="4680" w:hanging="360"/>
      </w:pPr>
    </w:lvl>
    <w:lvl w:ilvl="7" w:tplc="A1EAFB16">
      <w:start w:val="1"/>
      <w:numFmt w:val="lowerLetter"/>
      <w:lvlText w:val="%8."/>
      <w:lvlJc w:val="left"/>
      <w:pPr>
        <w:ind w:left="5400" w:hanging="360"/>
      </w:pPr>
    </w:lvl>
    <w:lvl w:ilvl="8" w:tplc="0A443AE2">
      <w:start w:val="1"/>
      <w:numFmt w:val="lowerRoman"/>
      <w:lvlText w:val="%9."/>
      <w:lvlJc w:val="right"/>
      <w:pPr>
        <w:ind w:left="6120" w:hanging="180"/>
      </w:pPr>
    </w:lvl>
  </w:abstractNum>
  <w:abstractNum w:abstractNumId="29" w15:restartNumberingAfterBreak="0">
    <w:nsid w:val="6692444D"/>
    <w:multiLevelType w:val="hybridMultilevel"/>
    <w:tmpl w:val="00000000"/>
    <w:lvl w:ilvl="0" w:tplc="73805A36">
      <w:start w:val="1"/>
      <w:numFmt w:val="lowerLetter"/>
      <w:lvlText w:val="%1."/>
      <w:lvlJc w:val="left"/>
      <w:pPr>
        <w:ind w:left="1011" w:hanging="360"/>
      </w:pPr>
    </w:lvl>
    <w:lvl w:ilvl="1" w:tplc="1AC68AF8">
      <w:start w:val="1"/>
      <w:numFmt w:val="lowerLetter"/>
      <w:lvlText w:val="%2."/>
      <w:lvlJc w:val="left"/>
      <w:pPr>
        <w:ind w:left="1731" w:hanging="360"/>
      </w:pPr>
    </w:lvl>
    <w:lvl w:ilvl="2" w:tplc="C5B68B68">
      <w:start w:val="1"/>
      <w:numFmt w:val="lowerRoman"/>
      <w:lvlText w:val="%3."/>
      <w:lvlJc w:val="right"/>
      <w:pPr>
        <w:ind w:left="2451" w:hanging="180"/>
      </w:pPr>
    </w:lvl>
    <w:lvl w:ilvl="3" w:tplc="9F168D60">
      <w:start w:val="1"/>
      <w:numFmt w:val="decimal"/>
      <w:lvlText w:val="%4."/>
      <w:lvlJc w:val="left"/>
      <w:pPr>
        <w:ind w:left="3171" w:hanging="360"/>
      </w:pPr>
    </w:lvl>
    <w:lvl w:ilvl="4" w:tplc="3856A352">
      <w:start w:val="1"/>
      <w:numFmt w:val="lowerLetter"/>
      <w:lvlText w:val="%5."/>
      <w:lvlJc w:val="left"/>
      <w:pPr>
        <w:ind w:left="3891" w:hanging="360"/>
      </w:pPr>
    </w:lvl>
    <w:lvl w:ilvl="5" w:tplc="20363E64">
      <w:start w:val="1"/>
      <w:numFmt w:val="lowerRoman"/>
      <w:lvlText w:val="%6."/>
      <w:lvlJc w:val="right"/>
      <w:pPr>
        <w:ind w:left="4611" w:hanging="180"/>
      </w:pPr>
    </w:lvl>
    <w:lvl w:ilvl="6" w:tplc="CDEC6CDC">
      <w:start w:val="1"/>
      <w:numFmt w:val="decimal"/>
      <w:lvlText w:val="%7."/>
      <w:lvlJc w:val="left"/>
      <w:pPr>
        <w:ind w:left="5331" w:hanging="360"/>
      </w:pPr>
    </w:lvl>
    <w:lvl w:ilvl="7" w:tplc="992CA3D0">
      <w:start w:val="1"/>
      <w:numFmt w:val="lowerLetter"/>
      <w:lvlText w:val="%8."/>
      <w:lvlJc w:val="left"/>
      <w:pPr>
        <w:ind w:left="6051" w:hanging="360"/>
      </w:pPr>
    </w:lvl>
    <w:lvl w:ilvl="8" w:tplc="DDB4E6D8">
      <w:start w:val="1"/>
      <w:numFmt w:val="lowerRoman"/>
      <w:lvlText w:val="%9."/>
      <w:lvlJc w:val="right"/>
      <w:pPr>
        <w:ind w:left="6771" w:hanging="180"/>
      </w:pPr>
    </w:lvl>
  </w:abstractNum>
  <w:abstractNum w:abstractNumId="30" w15:restartNumberingAfterBreak="0">
    <w:nsid w:val="678A753F"/>
    <w:multiLevelType w:val="hybridMultilevel"/>
    <w:tmpl w:val="00000000"/>
    <w:lvl w:ilvl="0" w:tplc="461C2C46">
      <w:start w:val="1"/>
      <w:numFmt w:val="lowerLetter"/>
      <w:lvlText w:val="%1)"/>
      <w:lvlJc w:val="left"/>
      <w:pPr>
        <w:ind w:left="1429" w:hanging="360"/>
      </w:pPr>
    </w:lvl>
    <w:lvl w:ilvl="1" w:tplc="01E64476">
      <w:start w:val="1"/>
      <w:numFmt w:val="lowerLetter"/>
      <w:lvlText w:val="%2."/>
      <w:lvlJc w:val="left"/>
      <w:pPr>
        <w:ind w:left="2149" w:hanging="360"/>
      </w:pPr>
    </w:lvl>
    <w:lvl w:ilvl="2" w:tplc="C0C4CE60">
      <w:start w:val="1"/>
      <w:numFmt w:val="lowerRoman"/>
      <w:lvlText w:val="%3."/>
      <w:lvlJc w:val="right"/>
      <w:pPr>
        <w:ind w:left="2869" w:hanging="180"/>
      </w:pPr>
    </w:lvl>
    <w:lvl w:ilvl="3" w:tplc="AF58441A">
      <w:start w:val="1"/>
      <w:numFmt w:val="decimal"/>
      <w:lvlText w:val="%4."/>
      <w:lvlJc w:val="left"/>
      <w:pPr>
        <w:ind w:left="3589" w:hanging="360"/>
      </w:pPr>
    </w:lvl>
    <w:lvl w:ilvl="4" w:tplc="0ECE3CA4">
      <w:start w:val="1"/>
      <w:numFmt w:val="lowerLetter"/>
      <w:lvlText w:val="%5."/>
      <w:lvlJc w:val="left"/>
      <w:pPr>
        <w:ind w:left="4309" w:hanging="360"/>
      </w:pPr>
    </w:lvl>
    <w:lvl w:ilvl="5" w:tplc="DEFAA7F6">
      <w:start w:val="1"/>
      <w:numFmt w:val="lowerRoman"/>
      <w:lvlText w:val="%6."/>
      <w:lvlJc w:val="right"/>
      <w:pPr>
        <w:ind w:left="5029" w:hanging="180"/>
      </w:pPr>
    </w:lvl>
    <w:lvl w:ilvl="6" w:tplc="212E5F6E">
      <w:start w:val="1"/>
      <w:numFmt w:val="decimal"/>
      <w:lvlText w:val="%7."/>
      <w:lvlJc w:val="left"/>
      <w:pPr>
        <w:ind w:left="5749" w:hanging="360"/>
      </w:pPr>
    </w:lvl>
    <w:lvl w:ilvl="7" w:tplc="5F547CB8">
      <w:start w:val="1"/>
      <w:numFmt w:val="lowerLetter"/>
      <w:lvlText w:val="%8."/>
      <w:lvlJc w:val="left"/>
      <w:pPr>
        <w:ind w:left="6469" w:hanging="360"/>
      </w:pPr>
    </w:lvl>
    <w:lvl w:ilvl="8" w:tplc="320C3D88">
      <w:start w:val="1"/>
      <w:numFmt w:val="lowerRoman"/>
      <w:lvlText w:val="%9."/>
      <w:lvlJc w:val="right"/>
      <w:pPr>
        <w:ind w:left="7189" w:hanging="180"/>
      </w:pPr>
    </w:lvl>
  </w:abstractNum>
  <w:abstractNum w:abstractNumId="31" w15:restartNumberingAfterBreak="0">
    <w:nsid w:val="6CA83191"/>
    <w:multiLevelType w:val="hybridMultilevel"/>
    <w:tmpl w:val="00000000"/>
    <w:lvl w:ilvl="0" w:tplc="CB74B1DE">
      <w:start w:val="1"/>
      <w:numFmt w:val="decimal"/>
      <w:lvlText w:val="%1."/>
      <w:lvlJc w:val="left"/>
      <w:pPr>
        <w:ind w:left="720" w:hanging="360"/>
      </w:pPr>
    </w:lvl>
    <w:lvl w:ilvl="1" w:tplc="1520C55E">
      <w:start w:val="1"/>
      <w:numFmt w:val="lowerLetter"/>
      <w:lvlText w:val="%2."/>
      <w:lvlJc w:val="left"/>
      <w:pPr>
        <w:ind w:left="1440" w:hanging="360"/>
      </w:pPr>
    </w:lvl>
    <w:lvl w:ilvl="2" w:tplc="1C9C0F70">
      <w:start w:val="1"/>
      <w:numFmt w:val="lowerRoman"/>
      <w:lvlText w:val="%3."/>
      <w:lvlJc w:val="right"/>
      <w:pPr>
        <w:ind w:left="2160" w:hanging="180"/>
      </w:pPr>
    </w:lvl>
    <w:lvl w:ilvl="3" w:tplc="76DEA036">
      <w:start w:val="1"/>
      <w:numFmt w:val="decimal"/>
      <w:lvlText w:val="%4."/>
      <w:lvlJc w:val="left"/>
      <w:pPr>
        <w:ind w:left="2880" w:hanging="360"/>
      </w:pPr>
    </w:lvl>
    <w:lvl w:ilvl="4" w:tplc="AF909CE4">
      <w:start w:val="1"/>
      <w:numFmt w:val="lowerLetter"/>
      <w:lvlText w:val="%5."/>
      <w:lvlJc w:val="left"/>
      <w:pPr>
        <w:ind w:left="3600" w:hanging="360"/>
      </w:pPr>
    </w:lvl>
    <w:lvl w:ilvl="5" w:tplc="595CB8C0">
      <w:start w:val="1"/>
      <w:numFmt w:val="lowerRoman"/>
      <w:lvlText w:val="%6."/>
      <w:lvlJc w:val="right"/>
      <w:pPr>
        <w:ind w:left="4320" w:hanging="180"/>
      </w:pPr>
    </w:lvl>
    <w:lvl w:ilvl="6" w:tplc="2F9A8D5E">
      <w:start w:val="1"/>
      <w:numFmt w:val="decimal"/>
      <w:lvlText w:val="%7."/>
      <w:lvlJc w:val="left"/>
      <w:pPr>
        <w:ind w:left="5040" w:hanging="360"/>
      </w:pPr>
    </w:lvl>
    <w:lvl w:ilvl="7" w:tplc="F378EA06">
      <w:start w:val="1"/>
      <w:numFmt w:val="lowerLetter"/>
      <w:lvlText w:val="%8."/>
      <w:lvlJc w:val="left"/>
      <w:pPr>
        <w:ind w:left="5760" w:hanging="360"/>
      </w:pPr>
    </w:lvl>
    <w:lvl w:ilvl="8" w:tplc="8F2ACD60">
      <w:start w:val="1"/>
      <w:numFmt w:val="lowerRoman"/>
      <w:lvlText w:val="%9."/>
      <w:lvlJc w:val="right"/>
      <w:pPr>
        <w:ind w:left="6480" w:hanging="180"/>
      </w:pPr>
    </w:lvl>
  </w:abstractNum>
  <w:abstractNum w:abstractNumId="32" w15:restartNumberingAfterBreak="0">
    <w:nsid w:val="7282276A"/>
    <w:multiLevelType w:val="hybridMultilevel"/>
    <w:tmpl w:val="00000000"/>
    <w:lvl w:ilvl="0" w:tplc="73424AB0">
      <w:start w:val="1"/>
      <w:numFmt w:val="lowerLetter"/>
      <w:lvlText w:val="%1."/>
      <w:lvlJc w:val="left"/>
      <w:pPr>
        <w:ind w:left="720" w:hanging="360"/>
      </w:pPr>
    </w:lvl>
    <w:lvl w:ilvl="1" w:tplc="A47A6774">
      <w:start w:val="1"/>
      <w:numFmt w:val="lowerLetter"/>
      <w:lvlText w:val="%2."/>
      <w:lvlJc w:val="left"/>
      <w:pPr>
        <w:ind w:left="1440" w:hanging="360"/>
      </w:pPr>
    </w:lvl>
    <w:lvl w:ilvl="2" w:tplc="6BDAFBDE">
      <w:start w:val="1"/>
      <w:numFmt w:val="lowerRoman"/>
      <w:lvlText w:val="%3."/>
      <w:lvlJc w:val="right"/>
      <w:pPr>
        <w:ind w:left="2160" w:hanging="180"/>
      </w:pPr>
    </w:lvl>
    <w:lvl w:ilvl="3" w:tplc="FBDEFA64">
      <w:start w:val="1"/>
      <w:numFmt w:val="decimal"/>
      <w:lvlText w:val="%4."/>
      <w:lvlJc w:val="left"/>
      <w:pPr>
        <w:ind w:left="2880" w:hanging="360"/>
      </w:pPr>
    </w:lvl>
    <w:lvl w:ilvl="4" w:tplc="768C4E0C">
      <w:start w:val="1"/>
      <w:numFmt w:val="lowerLetter"/>
      <w:lvlText w:val="%5."/>
      <w:lvlJc w:val="left"/>
      <w:pPr>
        <w:ind w:left="3600" w:hanging="360"/>
      </w:pPr>
    </w:lvl>
    <w:lvl w:ilvl="5" w:tplc="84FC2346">
      <w:start w:val="1"/>
      <w:numFmt w:val="lowerRoman"/>
      <w:lvlText w:val="%6."/>
      <w:lvlJc w:val="right"/>
      <w:pPr>
        <w:ind w:left="4320" w:hanging="180"/>
      </w:pPr>
    </w:lvl>
    <w:lvl w:ilvl="6" w:tplc="BDB412CC">
      <w:start w:val="1"/>
      <w:numFmt w:val="decimal"/>
      <w:lvlText w:val="%7."/>
      <w:lvlJc w:val="left"/>
      <w:pPr>
        <w:ind w:left="5040" w:hanging="360"/>
      </w:pPr>
    </w:lvl>
    <w:lvl w:ilvl="7" w:tplc="63DC7A62">
      <w:start w:val="1"/>
      <w:numFmt w:val="lowerLetter"/>
      <w:lvlText w:val="%8."/>
      <w:lvlJc w:val="left"/>
      <w:pPr>
        <w:ind w:left="5760" w:hanging="360"/>
      </w:pPr>
    </w:lvl>
    <w:lvl w:ilvl="8" w:tplc="9AFC310C">
      <w:start w:val="1"/>
      <w:numFmt w:val="lowerRoman"/>
      <w:lvlText w:val="%9."/>
      <w:lvlJc w:val="right"/>
      <w:pPr>
        <w:ind w:left="6480" w:hanging="180"/>
      </w:pPr>
    </w:lvl>
  </w:abstractNum>
  <w:abstractNum w:abstractNumId="33" w15:restartNumberingAfterBreak="0">
    <w:nsid w:val="73067BC0"/>
    <w:multiLevelType w:val="hybridMultilevel"/>
    <w:tmpl w:val="00000000"/>
    <w:lvl w:ilvl="0" w:tplc="9BE42674">
      <w:start w:val="1"/>
      <w:numFmt w:val="lowerLetter"/>
      <w:lvlText w:val="%1."/>
      <w:lvlJc w:val="left"/>
      <w:pPr>
        <w:ind w:left="720" w:hanging="360"/>
      </w:pPr>
    </w:lvl>
    <w:lvl w:ilvl="1" w:tplc="74B233DA">
      <w:start w:val="1"/>
      <w:numFmt w:val="lowerLetter"/>
      <w:lvlText w:val="%2."/>
      <w:lvlJc w:val="left"/>
      <w:pPr>
        <w:ind w:left="1440" w:hanging="360"/>
      </w:pPr>
    </w:lvl>
    <w:lvl w:ilvl="2" w:tplc="B590EDA8">
      <w:start w:val="1"/>
      <w:numFmt w:val="lowerRoman"/>
      <w:lvlText w:val="%3."/>
      <w:lvlJc w:val="right"/>
      <w:pPr>
        <w:ind w:left="2160" w:hanging="180"/>
      </w:pPr>
    </w:lvl>
    <w:lvl w:ilvl="3" w:tplc="F3BC1546">
      <w:start w:val="1"/>
      <w:numFmt w:val="decimal"/>
      <w:lvlText w:val="%4."/>
      <w:lvlJc w:val="left"/>
      <w:pPr>
        <w:ind w:left="2880" w:hanging="360"/>
      </w:pPr>
    </w:lvl>
    <w:lvl w:ilvl="4" w:tplc="9B6CFF22">
      <w:start w:val="1"/>
      <w:numFmt w:val="lowerLetter"/>
      <w:lvlText w:val="%5."/>
      <w:lvlJc w:val="left"/>
      <w:pPr>
        <w:ind w:left="3600" w:hanging="360"/>
      </w:pPr>
    </w:lvl>
    <w:lvl w:ilvl="5" w:tplc="51405952">
      <w:start w:val="1"/>
      <w:numFmt w:val="lowerRoman"/>
      <w:lvlText w:val="%6."/>
      <w:lvlJc w:val="right"/>
      <w:pPr>
        <w:ind w:left="4320" w:hanging="180"/>
      </w:pPr>
    </w:lvl>
    <w:lvl w:ilvl="6" w:tplc="FC2817A2">
      <w:start w:val="1"/>
      <w:numFmt w:val="decimal"/>
      <w:lvlText w:val="%7."/>
      <w:lvlJc w:val="left"/>
      <w:pPr>
        <w:ind w:left="5040" w:hanging="360"/>
      </w:pPr>
    </w:lvl>
    <w:lvl w:ilvl="7" w:tplc="0BFC32DC">
      <w:start w:val="1"/>
      <w:numFmt w:val="lowerLetter"/>
      <w:lvlText w:val="%8."/>
      <w:lvlJc w:val="left"/>
      <w:pPr>
        <w:ind w:left="5760" w:hanging="360"/>
      </w:pPr>
    </w:lvl>
    <w:lvl w:ilvl="8" w:tplc="8BC46F0A">
      <w:start w:val="1"/>
      <w:numFmt w:val="lowerRoman"/>
      <w:lvlText w:val="%9."/>
      <w:lvlJc w:val="right"/>
      <w:pPr>
        <w:ind w:left="6480" w:hanging="180"/>
      </w:pPr>
    </w:lvl>
  </w:abstractNum>
  <w:abstractNum w:abstractNumId="34" w15:restartNumberingAfterBreak="0">
    <w:nsid w:val="73815AC4"/>
    <w:multiLevelType w:val="hybridMultilevel"/>
    <w:tmpl w:val="00000000"/>
    <w:lvl w:ilvl="0" w:tplc="D3227E2E">
      <w:start w:val="1"/>
      <w:numFmt w:val="lowerLetter"/>
      <w:lvlText w:val="%1)"/>
      <w:lvlJc w:val="left"/>
      <w:pPr>
        <w:ind w:left="1146" w:hanging="360"/>
      </w:pPr>
    </w:lvl>
    <w:lvl w:ilvl="1" w:tplc="4E2681BC">
      <w:start w:val="1"/>
      <w:numFmt w:val="lowerLetter"/>
      <w:lvlText w:val="%2."/>
      <w:lvlJc w:val="left"/>
      <w:pPr>
        <w:ind w:left="1866" w:hanging="360"/>
      </w:pPr>
    </w:lvl>
    <w:lvl w:ilvl="2" w:tplc="A1C819B6">
      <w:start w:val="1"/>
      <w:numFmt w:val="lowerRoman"/>
      <w:lvlText w:val="%3."/>
      <w:lvlJc w:val="right"/>
      <w:pPr>
        <w:ind w:left="2586" w:hanging="180"/>
      </w:pPr>
    </w:lvl>
    <w:lvl w:ilvl="3" w:tplc="D8968684">
      <w:start w:val="1"/>
      <w:numFmt w:val="decimal"/>
      <w:lvlText w:val="%4."/>
      <w:lvlJc w:val="left"/>
      <w:pPr>
        <w:ind w:left="3306" w:hanging="360"/>
      </w:pPr>
    </w:lvl>
    <w:lvl w:ilvl="4" w:tplc="D4EC037E">
      <w:start w:val="1"/>
      <w:numFmt w:val="lowerLetter"/>
      <w:lvlText w:val="%5."/>
      <w:lvlJc w:val="left"/>
      <w:pPr>
        <w:ind w:left="4026" w:hanging="360"/>
      </w:pPr>
    </w:lvl>
    <w:lvl w:ilvl="5" w:tplc="7C52C7BC">
      <w:start w:val="1"/>
      <w:numFmt w:val="lowerRoman"/>
      <w:lvlText w:val="%6."/>
      <w:lvlJc w:val="right"/>
      <w:pPr>
        <w:ind w:left="4746" w:hanging="180"/>
      </w:pPr>
    </w:lvl>
    <w:lvl w:ilvl="6" w:tplc="31BC53F6">
      <w:start w:val="1"/>
      <w:numFmt w:val="decimal"/>
      <w:lvlText w:val="%7."/>
      <w:lvlJc w:val="left"/>
      <w:pPr>
        <w:ind w:left="5466" w:hanging="360"/>
      </w:pPr>
    </w:lvl>
    <w:lvl w:ilvl="7" w:tplc="765AF8F0">
      <w:start w:val="1"/>
      <w:numFmt w:val="lowerLetter"/>
      <w:lvlText w:val="%8."/>
      <w:lvlJc w:val="left"/>
      <w:pPr>
        <w:ind w:left="6186" w:hanging="360"/>
      </w:pPr>
    </w:lvl>
    <w:lvl w:ilvl="8" w:tplc="D65AD6FA">
      <w:start w:val="1"/>
      <w:numFmt w:val="lowerRoman"/>
      <w:lvlText w:val="%9."/>
      <w:lvlJc w:val="right"/>
      <w:pPr>
        <w:ind w:left="6906" w:hanging="180"/>
      </w:pPr>
    </w:lvl>
  </w:abstractNum>
  <w:abstractNum w:abstractNumId="35" w15:restartNumberingAfterBreak="0">
    <w:nsid w:val="7785748B"/>
    <w:multiLevelType w:val="hybridMultilevel"/>
    <w:tmpl w:val="00000000"/>
    <w:lvl w:ilvl="0" w:tplc="25E0562C">
      <w:start w:val="2"/>
      <w:numFmt w:val="decimal"/>
      <w:lvlText w:val="%1."/>
      <w:lvlJc w:val="left"/>
      <w:pPr>
        <w:ind w:left="720" w:hanging="360"/>
      </w:pPr>
    </w:lvl>
    <w:lvl w:ilvl="1" w:tplc="5D2A996E">
      <w:start w:val="1"/>
      <w:numFmt w:val="lowerLetter"/>
      <w:lvlText w:val="%2."/>
      <w:lvlJc w:val="left"/>
      <w:pPr>
        <w:ind w:left="1440" w:hanging="360"/>
      </w:pPr>
    </w:lvl>
    <w:lvl w:ilvl="2" w:tplc="86B66DEA">
      <w:start w:val="1"/>
      <w:numFmt w:val="lowerRoman"/>
      <w:lvlText w:val="%3."/>
      <w:lvlJc w:val="right"/>
      <w:pPr>
        <w:ind w:left="2160" w:hanging="180"/>
      </w:pPr>
    </w:lvl>
    <w:lvl w:ilvl="3" w:tplc="08DC251E">
      <w:start w:val="1"/>
      <w:numFmt w:val="decimal"/>
      <w:lvlText w:val="%4."/>
      <w:lvlJc w:val="left"/>
      <w:pPr>
        <w:ind w:left="2880" w:hanging="360"/>
      </w:pPr>
    </w:lvl>
    <w:lvl w:ilvl="4" w:tplc="415E05F6">
      <w:start w:val="1"/>
      <w:numFmt w:val="lowerLetter"/>
      <w:lvlText w:val="%5."/>
      <w:lvlJc w:val="left"/>
      <w:pPr>
        <w:ind w:left="3600" w:hanging="360"/>
      </w:pPr>
    </w:lvl>
    <w:lvl w:ilvl="5" w:tplc="057CC934">
      <w:start w:val="1"/>
      <w:numFmt w:val="lowerRoman"/>
      <w:lvlText w:val="%6."/>
      <w:lvlJc w:val="right"/>
      <w:pPr>
        <w:ind w:left="4320" w:hanging="180"/>
      </w:pPr>
    </w:lvl>
    <w:lvl w:ilvl="6" w:tplc="4C6C3EF6">
      <w:start w:val="1"/>
      <w:numFmt w:val="decimal"/>
      <w:lvlText w:val="%7."/>
      <w:lvlJc w:val="left"/>
      <w:pPr>
        <w:ind w:left="5040" w:hanging="360"/>
      </w:pPr>
    </w:lvl>
    <w:lvl w:ilvl="7" w:tplc="E244EFF8">
      <w:start w:val="1"/>
      <w:numFmt w:val="lowerLetter"/>
      <w:lvlText w:val="%8."/>
      <w:lvlJc w:val="left"/>
      <w:pPr>
        <w:ind w:left="5760" w:hanging="360"/>
      </w:pPr>
    </w:lvl>
    <w:lvl w:ilvl="8" w:tplc="A92817F8">
      <w:start w:val="1"/>
      <w:numFmt w:val="lowerRoman"/>
      <w:lvlText w:val="%9."/>
      <w:lvlJc w:val="right"/>
      <w:pPr>
        <w:ind w:left="6480" w:hanging="180"/>
      </w:pPr>
    </w:lvl>
  </w:abstractNum>
  <w:num w:numId="1">
    <w:abstractNumId w:val="28"/>
  </w:num>
  <w:num w:numId="2">
    <w:abstractNumId w:val="17"/>
  </w:num>
  <w:num w:numId="3">
    <w:abstractNumId w:val="8"/>
  </w:num>
  <w:num w:numId="4">
    <w:abstractNumId w:val="1"/>
  </w:num>
  <w:num w:numId="5">
    <w:abstractNumId w:val="35"/>
  </w:num>
  <w:num w:numId="6">
    <w:abstractNumId w:val="14"/>
  </w:num>
  <w:num w:numId="7">
    <w:abstractNumId w:val="29"/>
  </w:num>
  <w:num w:numId="8">
    <w:abstractNumId w:val="16"/>
  </w:num>
  <w:num w:numId="9">
    <w:abstractNumId w:val="15"/>
  </w:num>
  <w:num w:numId="10">
    <w:abstractNumId w:val="24"/>
  </w:num>
  <w:num w:numId="11">
    <w:abstractNumId w:val="6"/>
  </w:num>
  <w:num w:numId="12">
    <w:abstractNumId w:val="11"/>
  </w:num>
  <w:num w:numId="13">
    <w:abstractNumId w:val="31"/>
  </w:num>
  <w:num w:numId="14">
    <w:abstractNumId w:val="2"/>
  </w:num>
  <w:num w:numId="15">
    <w:abstractNumId w:val="22"/>
  </w:num>
  <w:num w:numId="16">
    <w:abstractNumId w:val="10"/>
  </w:num>
  <w:num w:numId="17">
    <w:abstractNumId w:val="19"/>
  </w:num>
  <w:num w:numId="18">
    <w:abstractNumId w:val="34"/>
  </w:num>
  <w:num w:numId="19">
    <w:abstractNumId w:val="9"/>
  </w:num>
  <w:num w:numId="20">
    <w:abstractNumId w:val="7"/>
  </w:num>
  <w:num w:numId="21">
    <w:abstractNumId w:val="13"/>
  </w:num>
  <w:num w:numId="22">
    <w:abstractNumId w:val="27"/>
  </w:num>
  <w:num w:numId="23">
    <w:abstractNumId w:val="21"/>
  </w:num>
  <w:num w:numId="24">
    <w:abstractNumId w:val="18"/>
  </w:num>
  <w:num w:numId="25">
    <w:abstractNumId w:val="30"/>
  </w:num>
  <w:num w:numId="26">
    <w:abstractNumId w:val="23"/>
  </w:num>
  <w:num w:numId="27">
    <w:abstractNumId w:val="26"/>
  </w:num>
  <w:num w:numId="28">
    <w:abstractNumId w:val="12"/>
  </w:num>
  <w:num w:numId="29">
    <w:abstractNumId w:val="20"/>
  </w:num>
  <w:num w:numId="30">
    <w:abstractNumId w:val="32"/>
  </w:num>
  <w:num w:numId="31">
    <w:abstractNumId w:val="3"/>
  </w:num>
  <w:num w:numId="32">
    <w:abstractNumId w:val="33"/>
  </w:num>
  <w:num w:numId="33">
    <w:abstractNumId w:val="5"/>
  </w:num>
  <w:num w:numId="34">
    <w:abstractNumId w:val="25"/>
  </w:num>
  <w:num w:numId="35">
    <w:abstractNumId w:val="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632EF"/>
    <w:rsid w:val="004E7132"/>
    <w:rsid w:val="0094076F"/>
    <w:rsid w:val="00A77B3E"/>
    <w:rsid w:val="00B37C46"/>
    <w:rsid w:val="00B91C8A"/>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82876"/>
  <w15:docId w15:val="{12CA3C15-0227-43EC-9528-F2B56737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center"/>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spacing w:after="160" w:line="259" w:lineRule="auto"/>
      <w:ind w:left="720"/>
      <w:contextualSpacing/>
      <w:jc w:val="left"/>
    </w:pPr>
    <w:rPr>
      <w:rFonts w:ascii="Calibri" w:hAnsi="Calibri"/>
      <w:sz w:val="22"/>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5796</Words>
  <Characters>34777</Characters>
  <Application>Microsoft Office Word</Application>
  <DocSecurity>0</DocSecurity>
  <Lines>289</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Rada Miejska w Łodzi</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oceny sytuacji ekonomiczno-finansowej
samodzielnego publicznego zakładu opieki zdrowotnej o nazwie Miejskie Centrum Medyczne „Widzew” w Łodzi, na podstawie raportu o sytuacji
ekonomiczno-finansowej za rok 2024.</dc:subject>
  <dc:creator>adomanska</dc:creator>
  <cp:lastModifiedBy>Małgorzata Wójcik</cp:lastModifiedBy>
  <cp:revision>2</cp:revision>
  <dcterms:created xsi:type="dcterms:W3CDTF">2025-12-05T11:57:00Z</dcterms:created>
  <dcterms:modified xsi:type="dcterms:W3CDTF">2025-12-05T11:57:00Z</dcterms:modified>
  <cp:category>Akt prawny</cp:category>
</cp:coreProperties>
</file>