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A77B3E">
      <w:pPr>
        <w:ind w:left="6236"/>
        <w:jc w:val="left"/>
        <w:rPr>
          <w:b/>
          <w:i/>
          <w:u w:val="thick"/>
        </w:rPr>
      </w:pPr>
    </w:p>
    <w:p w:rsidR="00A77B3E" w:rsidRDefault="00A77B3E">
      <w:pPr>
        <w:ind w:left="6236"/>
        <w:jc w:val="left"/>
        <w:rPr>
          <w:b/>
          <w:i/>
          <w:u w:val="thick"/>
        </w:rPr>
      </w:pPr>
    </w:p>
    <w:p w:rsidR="00A77B3E" w:rsidRDefault="009C7753">
      <w:pPr>
        <w:ind w:left="6236"/>
        <w:jc w:val="left"/>
      </w:pPr>
      <w:r>
        <w:t>Druk Nr</w:t>
      </w:r>
      <w:r w:rsidR="00595752">
        <w:t xml:space="preserve"> 289/2025</w:t>
      </w:r>
    </w:p>
    <w:p w:rsidR="00A77B3E" w:rsidRDefault="009C7753">
      <w:pPr>
        <w:ind w:left="6236"/>
        <w:jc w:val="left"/>
      </w:pPr>
      <w:r>
        <w:t>Projekt z dnia</w:t>
      </w:r>
      <w:r w:rsidR="00595752">
        <w:t xml:space="preserve"> 4 grudnia 2025 r. </w:t>
      </w:r>
      <w:bookmarkStart w:id="0" w:name="_GoBack"/>
      <w:bookmarkEnd w:id="0"/>
    </w:p>
    <w:p w:rsidR="00A77B3E" w:rsidRDefault="00A77B3E">
      <w:pPr>
        <w:ind w:left="6236"/>
        <w:jc w:val="left"/>
      </w:pPr>
    </w:p>
    <w:p w:rsidR="00A77B3E" w:rsidRDefault="009C7753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9C7753">
      <w:pPr>
        <w:spacing w:after="240"/>
        <w:rPr>
          <w:b/>
          <w:caps/>
        </w:rPr>
      </w:pPr>
      <w:r>
        <w:rPr>
          <w:b/>
        </w:rPr>
        <w:t>z dnia                      2025 r.</w:t>
      </w:r>
    </w:p>
    <w:p w:rsidR="00A77B3E" w:rsidRDefault="009C7753">
      <w:pPr>
        <w:keepNext/>
        <w:spacing w:after="240"/>
      </w:pPr>
      <w:r>
        <w:rPr>
          <w:b/>
        </w:rPr>
        <w:t>w sprawie oceny sytuacji ekonomiczno-finansowej</w:t>
      </w:r>
      <w:r>
        <w:rPr>
          <w:b/>
        </w:rPr>
        <w:br/>
        <w:t>samodzielnego publicznego zakładu opieki zdrowotnej o nazwie Miejskie Centrum Medyczne „Górna” w Łodzi, na podstawie raportu o sytuacji</w:t>
      </w:r>
      <w:r>
        <w:rPr>
          <w:b/>
        </w:rPr>
        <w:br/>
        <w:t>ekonomiczno-finansowej za rok 2024.</w:t>
      </w:r>
    </w:p>
    <w:p w:rsidR="00A77B3E" w:rsidRDefault="009C7753">
      <w:pPr>
        <w:keepLines/>
        <w:spacing w:before="120" w:after="120"/>
        <w:ind w:firstLine="567"/>
        <w:jc w:val="both"/>
      </w:pPr>
      <w:r>
        <w:t>Na podstawie art. 18 ust. 2 pkt 15 ustawy z dnia 8 marca 1990 r. o samorządzie gminnym (Dz. U. z 2025 r. poz. 1153 i 1436) oraz art. 53a ust. 4 ustawy z dnia 15 kwietnia 2011 r. o działalności leczniczej (Dz. U. z 2025 r. poz. 450, 620, 637 i 1211), Rada Miejska w Łodzi</w:t>
      </w:r>
    </w:p>
    <w:p w:rsidR="00A77B3E" w:rsidRDefault="009C7753">
      <w:pPr>
        <w:spacing w:before="120" w:after="120"/>
        <w:rPr>
          <w:b/>
        </w:rPr>
      </w:pPr>
      <w:r>
        <w:rPr>
          <w:b/>
        </w:rPr>
        <w:t>uchwala, co następuje:</w:t>
      </w:r>
    </w:p>
    <w:p w:rsidR="00A77B3E" w:rsidRDefault="009C7753">
      <w:pPr>
        <w:keepLines/>
        <w:spacing w:before="240" w:after="120"/>
        <w:ind w:firstLine="567"/>
        <w:jc w:val="both"/>
      </w:pPr>
      <w:r>
        <w:t>§ 1. Dokonuje się oceny sytuacji ekonomiczno-finansowej samodzielnego publicznego zakładu opieki zdrowotnej o nazwie Miejskie Centrum Medyczne „Górna” w Łodzi,</w:t>
      </w:r>
      <w:r>
        <w:br/>
        <w:t>na podstawie raportu o sytuacji ekonomiczno-finansowej za rok 2024, w brzmieniu stanowiącym załącznik do uchwały.</w:t>
      </w:r>
    </w:p>
    <w:p w:rsidR="00A77B3E" w:rsidRDefault="009C7753">
      <w:pPr>
        <w:keepLines/>
        <w:spacing w:before="240" w:after="120"/>
        <w:ind w:firstLine="567"/>
        <w:jc w:val="both"/>
      </w:pPr>
      <w:r>
        <w:t>§ 2. Wykonanie uchwały powierza się Prezydentowi Miasta Łodzi.</w:t>
      </w:r>
    </w:p>
    <w:p w:rsidR="00A77B3E" w:rsidRDefault="009C7753">
      <w:pPr>
        <w:keepNext/>
        <w:keepLines/>
        <w:spacing w:before="240" w:after="120"/>
        <w:ind w:firstLine="567"/>
        <w:jc w:val="both"/>
      </w:pPr>
      <w:r>
        <w:t>§ 3. Uchwała wchodzi w życie z dniem podjęcia.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AC5FC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FCD" w:rsidRDefault="00AC5FCD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FCD" w:rsidRDefault="009C7753">
            <w:pPr>
              <w:keepLines/>
              <w:spacing w:before="520" w:after="520"/>
              <w:ind w:left="567" w:right="567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 Miejskiej 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Bartosz^DOMASZEWICZ</w:t>
            </w:r>
          </w:p>
        </w:tc>
      </w:tr>
    </w:tbl>
    <w:p w:rsidR="00A77B3E" w:rsidRDefault="009C7753">
      <w:pPr>
        <w:spacing w:before="120" w:after="120"/>
        <w:ind w:left="283" w:firstLine="227"/>
        <w:jc w:val="both"/>
      </w:pPr>
      <w:r>
        <w:t>Projektodawcą jest</w:t>
      </w:r>
    </w:p>
    <w:p w:rsidR="00A77B3E" w:rsidRDefault="009C7753">
      <w:pPr>
        <w:spacing w:before="120" w:after="120"/>
        <w:ind w:left="283" w:firstLine="227"/>
        <w:jc w:val="both"/>
      </w:pPr>
      <w:r>
        <w:t>Prezydent Miasta Łodzi</w:t>
      </w:r>
    </w:p>
    <w:p w:rsidR="00A77B3E" w:rsidRDefault="00A77B3E">
      <w:pPr>
        <w:spacing w:before="120" w:after="120"/>
        <w:ind w:left="283" w:firstLine="227"/>
        <w:jc w:val="both"/>
        <w:sectPr w:rsidR="00A77B3E">
          <w:footerReference w:type="default" r:id="rId7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C5FCD" w:rsidRDefault="009C7753">
      <w:pPr>
        <w:keepNext/>
        <w:ind w:left="5415" w:firstLine="285"/>
        <w:jc w:val="left"/>
        <w:outlineLvl w:val="0"/>
        <w:rPr>
          <w:szCs w:val="20"/>
          <w:lang w:eastAsia="en-US" w:bidi="ar-SA"/>
        </w:rPr>
      </w:pPr>
      <w:r>
        <w:rPr>
          <w:szCs w:val="20"/>
          <w:lang w:eastAsia="en-US" w:bidi="ar-SA"/>
        </w:rPr>
        <w:lastRenderedPageBreak/>
        <w:t>Załącznik</w:t>
      </w:r>
    </w:p>
    <w:p w:rsidR="00AC5FCD" w:rsidRDefault="009C7753">
      <w:pPr>
        <w:keepNext/>
        <w:ind w:left="5415" w:firstLine="285"/>
        <w:jc w:val="left"/>
        <w:outlineLvl w:val="0"/>
        <w:rPr>
          <w:szCs w:val="20"/>
          <w:lang w:eastAsia="en-US" w:bidi="ar-SA"/>
        </w:rPr>
      </w:pPr>
      <w:r>
        <w:rPr>
          <w:szCs w:val="20"/>
          <w:lang w:eastAsia="en-US" w:bidi="ar-SA"/>
        </w:rPr>
        <w:t xml:space="preserve">do uchwały Nr </w:t>
      </w:r>
    </w:p>
    <w:p w:rsidR="00AC5FCD" w:rsidRDefault="009C7753">
      <w:pPr>
        <w:keepNext/>
        <w:ind w:left="5415" w:firstLine="285"/>
        <w:jc w:val="left"/>
        <w:outlineLvl w:val="0"/>
        <w:rPr>
          <w:szCs w:val="20"/>
          <w:lang w:eastAsia="en-US" w:bidi="ar-SA"/>
        </w:rPr>
      </w:pPr>
      <w:r>
        <w:rPr>
          <w:szCs w:val="20"/>
          <w:lang w:eastAsia="en-US" w:bidi="ar-SA"/>
        </w:rPr>
        <w:t>Rady Miejskiej w Łodzi</w:t>
      </w:r>
    </w:p>
    <w:p w:rsidR="00AC5FCD" w:rsidRDefault="009C7753">
      <w:pPr>
        <w:keepNext/>
        <w:ind w:left="5415" w:firstLine="285"/>
        <w:jc w:val="left"/>
        <w:outlineLvl w:val="0"/>
        <w:rPr>
          <w:szCs w:val="20"/>
          <w:lang w:eastAsia="en-US" w:bidi="ar-SA"/>
        </w:rPr>
      </w:pPr>
      <w:r>
        <w:rPr>
          <w:szCs w:val="20"/>
          <w:lang w:eastAsia="en-US" w:bidi="ar-SA"/>
        </w:rPr>
        <w:t xml:space="preserve">z dnia </w:t>
      </w:r>
    </w:p>
    <w:p w:rsidR="00AC5FCD" w:rsidRDefault="00AC5FCD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AC5FCD" w:rsidRDefault="009C7753">
      <w:pPr>
        <w:keepNext/>
        <w:spacing w:before="240" w:after="60"/>
        <w:outlineLvl w:val="0"/>
        <w:rPr>
          <w:b/>
          <w:szCs w:val="20"/>
          <w:lang w:eastAsia="en-US" w:bidi="ar-SA"/>
        </w:rPr>
      </w:pPr>
      <w:r>
        <w:rPr>
          <w:b/>
          <w:szCs w:val="20"/>
          <w:lang w:eastAsia="en-US" w:bidi="ar-SA"/>
        </w:rPr>
        <w:t xml:space="preserve">Ocena sytuacji ekonomiczno-finansowej </w:t>
      </w:r>
      <w:r>
        <w:rPr>
          <w:b/>
          <w:szCs w:val="20"/>
          <w:lang w:eastAsia="en-US" w:bidi="ar-SA"/>
        </w:rPr>
        <w:br/>
        <w:t xml:space="preserve">Miejskiego Centrum Medycznego „Górna” w Łodzi </w:t>
      </w:r>
      <w:r>
        <w:rPr>
          <w:b/>
          <w:szCs w:val="20"/>
          <w:lang w:eastAsia="en-US" w:bidi="ar-SA"/>
        </w:rPr>
        <w:br/>
        <w:t>na podstawie raportu o sytuacji ekonomiczno-finansowej za rok 2024.</w:t>
      </w:r>
    </w:p>
    <w:p w:rsidR="00AC5FCD" w:rsidRDefault="009C7753">
      <w:pPr>
        <w:tabs>
          <w:tab w:val="left" w:pos="284"/>
          <w:tab w:val="left" w:pos="360"/>
        </w:tabs>
        <w:spacing w:before="240" w:after="200" w:line="276" w:lineRule="auto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 xml:space="preserve">Miejskie Centrum Medyczne „Górna” w Łodzi, zwane dalej </w:t>
      </w:r>
      <w:r>
        <w:rPr>
          <w:color w:val="000000"/>
          <w:szCs w:val="20"/>
          <w:shd w:val="clear" w:color="auto" w:fill="FFFFFF"/>
        </w:rPr>
        <w:t xml:space="preserve">również 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MCM „Górna” w Łodzi, </w:t>
      </w:r>
      <w:r>
        <w:rPr>
          <w:sz w:val="23"/>
          <w:szCs w:val="20"/>
        </w:rPr>
        <w:t xml:space="preserve">jednostka lub Centrum, 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przedstawiło raport prezentujący sytuację ekonomiczno-finansową jednostki w roku obrotowym 2024 oraz prognozę na kolejne trzy lata 2025-2027. </w:t>
      </w:r>
      <w:bookmarkStart w:id="1" w:name="_Hlk212719113"/>
      <w:r>
        <w:rPr>
          <w:color w:val="000000"/>
          <w:szCs w:val="20"/>
          <w:shd w:val="clear" w:color="auto" w:fill="FFFFFF"/>
          <w:lang w:eastAsia="en-US" w:bidi="ar-SA"/>
        </w:rPr>
        <w:t xml:space="preserve">Dokument przygotowano na podstawie ustawy z dnia 15 kwietnia 2011 r. o działalności leczniczej </w:t>
      </w:r>
      <w:r>
        <w:rPr>
          <w:color w:val="000000"/>
          <w:szCs w:val="20"/>
          <w:shd w:val="clear" w:color="auto" w:fill="FFFFFF"/>
        </w:rPr>
        <w:br/>
      </w:r>
      <w:r>
        <w:rPr>
          <w:color w:val="000000"/>
          <w:szCs w:val="20"/>
          <w:shd w:val="clear" w:color="auto" w:fill="FFFFFF"/>
          <w:lang w:eastAsia="en-US" w:bidi="ar-SA"/>
        </w:rPr>
        <w:t>(Dz. U. z 2025 r. poz. 450, z późn. zm.) oraz w oparciu o rozporządzenie Ministra Zdrowia z dnia 12 kwietnia 2017 r. w sprawie wskaźników ekonomiczno-finansowych niezbędnych do sporządzenia analizy oraz prognozy sytuacji ekonomiczno-finansowej samodzielnych publicznych zakładów opieki zdrowotnej (Dz. U. poz. 832), które określa:</w:t>
      </w:r>
    </w:p>
    <w:bookmarkEnd w:id="1"/>
    <w:p w:rsidR="00AC5FCD" w:rsidRDefault="009C7753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  <w:rPr>
          <w:b/>
          <w:color w:val="00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Wskaźniki ekonomiczno-finansowe i sposób ich obliczania, dotyczące następujących aspektów sytuacji finansowej jednostki:</w:t>
      </w:r>
    </w:p>
    <w:p w:rsidR="00AC5FCD" w:rsidRDefault="009C7753">
      <w:pPr>
        <w:numPr>
          <w:ilvl w:val="0"/>
          <w:numId w:val="2"/>
        </w:numPr>
        <w:tabs>
          <w:tab w:val="left" w:pos="360"/>
        </w:tabs>
        <w:spacing w:line="276" w:lineRule="auto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zyskowności</w:t>
      </w:r>
      <w:r>
        <w:rPr>
          <w:color w:val="000000"/>
          <w:szCs w:val="20"/>
          <w:shd w:val="clear" w:color="auto" w:fill="FFFFFF"/>
        </w:rPr>
        <w:t>,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tj. zdolności jednostki do generowania zysków,</w:t>
      </w:r>
    </w:p>
    <w:p w:rsidR="00AC5FCD" w:rsidRDefault="009C7753">
      <w:pPr>
        <w:numPr>
          <w:ilvl w:val="0"/>
          <w:numId w:val="2"/>
        </w:numPr>
        <w:tabs>
          <w:tab w:val="left" w:pos="360"/>
        </w:tabs>
        <w:spacing w:line="276" w:lineRule="auto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płynności finansowej</w:t>
      </w:r>
      <w:r>
        <w:rPr>
          <w:color w:val="000000"/>
          <w:szCs w:val="20"/>
          <w:shd w:val="clear" w:color="auto" w:fill="FFFFFF"/>
        </w:rPr>
        <w:t>,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tj. zdolności jednostki do terminowego regulowania zaciągniętych zobowiązań krótkoterminowych,</w:t>
      </w:r>
    </w:p>
    <w:p w:rsidR="00AC5FCD" w:rsidRDefault="009C7753">
      <w:pPr>
        <w:numPr>
          <w:ilvl w:val="0"/>
          <w:numId w:val="2"/>
        </w:numPr>
        <w:tabs>
          <w:tab w:val="left" w:pos="360"/>
        </w:tabs>
        <w:spacing w:line="276" w:lineRule="auto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efektywności zarządzania przepływami finansowymi,</w:t>
      </w:r>
    </w:p>
    <w:p w:rsidR="00AC5FCD" w:rsidRDefault="009C7753">
      <w:pPr>
        <w:numPr>
          <w:ilvl w:val="0"/>
          <w:numId w:val="2"/>
        </w:numPr>
        <w:tabs>
          <w:tab w:val="left" w:pos="360"/>
        </w:tabs>
        <w:spacing w:line="276" w:lineRule="auto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zadłużenia</w:t>
      </w:r>
      <w:r>
        <w:rPr>
          <w:color w:val="000000"/>
          <w:szCs w:val="20"/>
          <w:shd w:val="clear" w:color="auto" w:fill="FFFFFF"/>
        </w:rPr>
        <w:t>,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tj. stopnia finansowania aktywów kapitałami obcymi.</w:t>
      </w:r>
    </w:p>
    <w:p w:rsidR="00AC5FCD" w:rsidRDefault="009C7753">
      <w:pPr>
        <w:spacing w:before="240"/>
        <w:jc w:val="both"/>
        <w:rPr>
          <w:b/>
          <w:color w:val="00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Metodologia obliczania wskaźników na podstawie rozporządzenia Ministra Zdrowia</w:t>
      </w:r>
    </w:p>
    <w:p w:rsidR="00AC5FCD" w:rsidRDefault="009C7753">
      <w:pPr>
        <w:numPr>
          <w:ilvl w:val="0"/>
          <w:numId w:val="3"/>
        </w:numPr>
        <w:tabs>
          <w:tab w:val="left" w:pos="360"/>
        </w:tabs>
        <w:spacing w:before="240" w:line="276" w:lineRule="auto"/>
        <w:ind w:left="285" w:hanging="285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u w:val="single"/>
          <w:shd w:val="clear" w:color="auto" w:fill="FFFFFF"/>
          <w:lang w:eastAsia="en-US" w:bidi="ar-SA"/>
        </w:rPr>
        <w:t>Wskaźniki zyskowności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– określają zdolność podmiotu do generowania zysków, a zatem ekonomiczną efektywność działalności. Dodatnie wartości wskaźników informują </w:t>
      </w:r>
      <w:r>
        <w:rPr>
          <w:color w:val="000000"/>
          <w:szCs w:val="20"/>
          <w:shd w:val="clear" w:color="auto" w:fill="FFFFFF"/>
          <w:lang w:eastAsia="en-US" w:bidi="ar-SA"/>
        </w:rPr>
        <w:br/>
        <w:t>o racjonalnym gospodarowaniu, gdzie przychody podmiotu przewyższają koszty.</w:t>
      </w:r>
    </w:p>
    <w:p w:rsidR="00AC5FCD" w:rsidRDefault="009C7753">
      <w:pPr>
        <w:spacing w:before="240" w:after="200" w:line="276" w:lineRule="auto"/>
        <w:ind w:left="360"/>
        <w:jc w:val="both"/>
        <w:rPr>
          <w:i/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u w:val="single"/>
          <w:shd w:val="clear" w:color="auto" w:fill="FFFFFF"/>
          <w:lang w:eastAsia="en-US" w:bidi="ar-SA"/>
        </w:rPr>
        <w:t>wskaźnik zyskowności netto (%) =</w:t>
      </w:r>
      <w:r>
        <w:rPr>
          <w:i/>
          <w:color w:val="000000"/>
          <w:szCs w:val="20"/>
          <w:shd w:val="clear" w:color="auto" w:fill="FFFFFF"/>
          <w:lang w:eastAsia="en-US" w:bidi="ar-SA"/>
        </w:rPr>
        <w:t xml:space="preserve"> wynik netto x 100% </w:t>
      </w:r>
      <w:r>
        <w:rPr>
          <w:b/>
          <w:i/>
          <w:color w:val="000000"/>
          <w:szCs w:val="20"/>
          <w:shd w:val="clear" w:color="auto" w:fill="FFFFFF"/>
          <w:lang w:eastAsia="en-US" w:bidi="ar-SA"/>
        </w:rPr>
        <w:t xml:space="preserve">/ </w:t>
      </w:r>
      <w:r>
        <w:rPr>
          <w:i/>
          <w:color w:val="000000"/>
          <w:szCs w:val="20"/>
          <w:shd w:val="clear" w:color="auto" w:fill="FFFFFF"/>
          <w:lang w:eastAsia="en-US" w:bidi="ar-SA"/>
        </w:rPr>
        <w:t>przychody netto ze sprzedaży produktów + przychody netto ze sprzedaży towarów i materiałów + pozostałe przychody operacyjne + przychody finansowe</w:t>
      </w:r>
    </w:p>
    <w:p w:rsidR="00AC5FCD" w:rsidRDefault="009C7753">
      <w:pPr>
        <w:tabs>
          <w:tab w:val="left" w:pos="360"/>
        </w:tabs>
        <w:spacing w:after="200" w:line="276" w:lineRule="auto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wartość punktowa wskaźnika zyskowności netto</w:t>
      </w:r>
      <w:r>
        <w:rPr>
          <w:color w:val="000000"/>
          <w:szCs w:val="20"/>
          <w:shd w:val="clear" w:color="auto" w:fill="FFFFFF"/>
          <w:lang w:eastAsia="en-US" w:bidi="ar-SA"/>
        </w:rPr>
        <w:t>: poniżej 0,0% ocena 0; od 0,0% do 2,0% ocena 3; powyżej 2,0% do 4,0% ocena 4; powyżej 4% ocena 5.</w:t>
      </w:r>
    </w:p>
    <w:p w:rsidR="00AC5FCD" w:rsidRDefault="009C7753">
      <w:pPr>
        <w:spacing w:line="276" w:lineRule="auto"/>
        <w:ind w:left="426"/>
        <w:jc w:val="both"/>
        <w:rPr>
          <w:i/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u w:val="single"/>
          <w:shd w:val="clear" w:color="auto" w:fill="FFFFFF"/>
          <w:lang w:eastAsia="en-US" w:bidi="ar-SA"/>
        </w:rPr>
        <w:t xml:space="preserve">wskaźnik zyskowności działalności operacyjnej (%) 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= </w:t>
      </w:r>
      <w:r>
        <w:rPr>
          <w:i/>
          <w:color w:val="000000"/>
          <w:szCs w:val="20"/>
          <w:shd w:val="clear" w:color="auto" w:fill="FFFFFF"/>
          <w:lang w:eastAsia="en-US" w:bidi="ar-SA"/>
        </w:rPr>
        <w:t xml:space="preserve">wynik z działalności operacyjnej </w:t>
      </w:r>
      <w:r>
        <w:rPr>
          <w:i/>
          <w:color w:val="000000"/>
          <w:szCs w:val="20"/>
          <w:shd w:val="clear" w:color="auto" w:fill="FFFFFF"/>
          <w:lang w:eastAsia="en-US" w:bidi="ar-SA"/>
        </w:rPr>
        <w:br/>
        <w:t xml:space="preserve">x 100% </w:t>
      </w:r>
      <w:r>
        <w:rPr>
          <w:b/>
          <w:i/>
          <w:color w:val="000000"/>
          <w:szCs w:val="20"/>
          <w:shd w:val="clear" w:color="auto" w:fill="FFFFFF"/>
          <w:lang w:eastAsia="en-US" w:bidi="ar-SA"/>
        </w:rPr>
        <w:t xml:space="preserve">/ </w:t>
      </w:r>
      <w:r>
        <w:rPr>
          <w:i/>
          <w:color w:val="000000"/>
          <w:szCs w:val="20"/>
          <w:shd w:val="clear" w:color="auto" w:fill="FFFFFF"/>
          <w:lang w:eastAsia="en-US" w:bidi="ar-SA"/>
        </w:rPr>
        <w:t>przychody netto ze sprzedaży produktów + przychody netto ze sprzedaży towarów i materiałów + pozostałe przychody operacyjne</w:t>
      </w:r>
    </w:p>
    <w:p w:rsidR="00AC5FCD" w:rsidRDefault="009C7753">
      <w:pPr>
        <w:tabs>
          <w:tab w:val="left" w:pos="360"/>
        </w:tabs>
        <w:spacing w:before="240" w:after="200" w:line="276" w:lineRule="auto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wartość punktowa wskaźnika zyskowności działalności operacyjnej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: poniżej 0,0% </w:t>
      </w:r>
      <w:r>
        <w:rPr>
          <w:color w:val="000000"/>
          <w:szCs w:val="20"/>
          <w:shd w:val="clear" w:color="auto" w:fill="FFFFFF"/>
          <w:lang w:eastAsia="en-US" w:bidi="ar-SA"/>
        </w:rPr>
        <w:br/>
        <w:t>ocena 0; od 0,0% do 3,0% ocena 3; powyżej 3,0% do 5,0% ocena 4; powyżej 5% ocena 5.</w:t>
      </w:r>
    </w:p>
    <w:p w:rsidR="00AC5FCD" w:rsidRDefault="00AC5FCD">
      <w:pPr>
        <w:spacing w:after="200" w:line="276" w:lineRule="auto"/>
        <w:ind w:left="426"/>
        <w:jc w:val="left"/>
        <w:rPr>
          <w:color w:val="000000"/>
          <w:szCs w:val="20"/>
          <w:u w:val="single"/>
          <w:shd w:val="clear" w:color="auto" w:fill="FFFFFF"/>
          <w:lang w:eastAsia="en-US" w:bidi="ar-SA"/>
        </w:rPr>
      </w:pPr>
    </w:p>
    <w:p w:rsidR="00AC5FCD" w:rsidRDefault="009C7753">
      <w:pPr>
        <w:spacing w:after="200" w:line="276" w:lineRule="auto"/>
        <w:ind w:left="426"/>
        <w:jc w:val="left"/>
        <w:rPr>
          <w:i/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u w:val="single"/>
          <w:shd w:val="clear" w:color="auto" w:fill="FFFFFF"/>
          <w:lang w:eastAsia="en-US" w:bidi="ar-SA"/>
        </w:rPr>
        <w:t>wskaźnik zyskowności aktywów (%) =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>
        <w:rPr>
          <w:i/>
          <w:color w:val="000000"/>
          <w:szCs w:val="20"/>
          <w:shd w:val="clear" w:color="auto" w:fill="FFFFFF"/>
          <w:lang w:eastAsia="en-US" w:bidi="ar-SA"/>
        </w:rPr>
        <w:t xml:space="preserve">wynik netto x 100% </w:t>
      </w:r>
      <w:r>
        <w:rPr>
          <w:b/>
          <w:i/>
          <w:color w:val="000000"/>
          <w:szCs w:val="20"/>
          <w:shd w:val="clear" w:color="auto" w:fill="FFFFFF"/>
          <w:lang w:eastAsia="en-US" w:bidi="ar-SA"/>
        </w:rPr>
        <w:t>/</w:t>
      </w:r>
      <w:r>
        <w:rPr>
          <w:i/>
          <w:color w:val="000000"/>
          <w:szCs w:val="20"/>
          <w:shd w:val="clear" w:color="auto" w:fill="FFFFFF"/>
          <w:lang w:eastAsia="en-US" w:bidi="ar-SA"/>
        </w:rPr>
        <w:t xml:space="preserve"> średni stan aktywów</w:t>
      </w:r>
    </w:p>
    <w:p w:rsidR="00AC5FCD" w:rsidRDefault="009C7753">
      <w:pPr>
        <w:tabs>
          <w:tab w:val="left" w:pos="360"/>
        </w:tabs>
        <w:spacing w:after="200" w:line="276" w:lineRule="auto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wartość punktowa wskaźnika zyskowności aktywów</w:t>
      </w:r>
      <w:r>
        <w:rPr>
          <w:color w:val="000000"/>
          <w:szCs w:val="20"/>
          <w:shd w:val="clear" w:color="auto" w:fill="FFFFFF"/>
          <w:lang w:eastAsia="en-US" w:bidi="ar-SA"/>
        </w:rPr>
        <w:t>: poniżej 0,0% ocena 0; od 0,0% do 2,0% ocena 3; powyżej 2,0% do 4,0% ocena 4; powyżej 4% ocena 5.</w:t>
      </w:r>
    </w:p>
    <w:p w:rsidR="00AC5FCD" w:rsidRDefault="009C7753">
      <w:pPr>
        <w:numPr>
          <w:ilvl w:val="0"/>
          <w:numId w:val="3"/>
        </w:numPr>
        <w:tabs>
          <w:tab w:val="left" w:pos="360"/>
        </w:tabs>
        <w:spacing w:after="200" w:line="276" w:lineRule="auto"/>
        <w:ind w:left="285" w:hanging="285"/>
        <w:jc w:val="both"/>
        <w:rPr>
          <w:color w:val="000000"/>
          <w:szCs w:val="20"/>
          <w:u w:val="single"/>
          <w:shd w:val="clear" w:color="auto" w:fill="FFFFFF"/>
          <w:lang w:eastAsia="en-US" w:bidi="ar-SA"/>
        </w:rPr>
      </w:pPr>
      <w:r>
        <w:rPr>
          <w:color w:val="000000"/>
          <w:szCs w:val="20"/>
          <w:u w:val="single"/>
          <w:shd w:val="clear" w:color="auto" w:fill="FFFFFF"/>
          <w:lang w:eastAsia="en-US" w:bidi="ar-SA"/>
        </w:rPr>
        <w:t>Wskaźniki płynności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– określają zdolność podmiotu do terminowego regulowania zaciągniętych zobowiązań krótkoterminowych. Jeżeli poziom wskaźników obniża się, to występuje ryzyko utraty przez podmiot zdolności do terminowego regulowania zobowiązań. W przypadku gdy wskaźniki są zbyt wysokie, może to świadczyć o nieefektywnym gospodarowaniu posiadanymi środkami obrotowymi.</w:t>
      </w:r>
    </w:p>
    <w:p w:rsidR="00AC5FCD" w:rsidRDefault="009C7753">
      <w:pPr>
        <w:tabs>
          <w:tab w:val="left" w:pos="360"/>
        </w:tabs>
        <w:spacing w:after="200" w:line="276" w:lineRule="auto"/>
        <w:ind w:left="360"/>
        <w:jc w:val="both"/>
        <w:rPr>
          <w:i/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u w:val="single"/>
          <w:shd w:val="clear" w:color="auto" w:fill="FFFFFF"/>
          <w:lang w:eastAsia="en-US" w:bidi="ar-SA"/>
        </w:rPr>
        <w:t>wskaźnik bieżącej płynności =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>
        <w:rPr>
          <w:i/>
          <w:color w:val="000000"/>
          <w:szCs w:val="20"/>
          <w:shd w:val="clear" w:color="auto" w:fill="FFFFFF"/>
          <w:lang w:eastAsia="en-US" w:bidi="ar-SA"/>
        </w:rPr>
        <w:t xml:space="preserve">aktywa obrotowe – należności krótkoterminowe z tytułu dostaw i usług, o okresie spłaty powyżej 12 miesięcy – krótkoterminowe rozliczenia międzyokresowe (czynne) </w:t>
      </w:r>
      <w:r>
        <w:rPr>
          <w:b/>
          <w:i/>
          <w:color w:val="000000"/>
          <w:szCs w:val="20"/>
          <w:shd w:val="clear" w:color="auto" w:fill="FFFFFF"/>
          <w:lang w:eastAsia="en-US" w:bidi="ar-SA"/>
        </w:rPr>
        <w:t xml:space="preserve">/ </w:t>
      </w:r>
      <w:r>
        <w:rPr>
          <w:i/>
          <w:color w:val="000000"/>
          <w:szCs w:val="20"/>
          <w:shd w:val="clear" w:color="auto" w:fill="FFFFFF"/>
          <w:lang w:eastAsia="en-US" w:bidi="ar-SA"/>
        </w:rPr>
        <w:t>zobowiązania krótkoterminowe – zobowiązania z tytułu dostaw i usług, o okresie wymagalności powyżej 12 miesięcy + rezerwy na zobowiązania krótkoterminowe</w:t>
      </w:r>
    </w:p>
    <w:p w:rsidR="00AC5FCD" w:rsidRDefault="009C7753">
      <w:pPr>
        <w:tabs>
          <w:tab w:val="left" w:pos="360"/>
        </w:tabs>
        <w:spacing w:after="200" w:line="276" w:lineRule="auto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wartość punktowa wskaźnika bieżącej płynności</w:t>
      </w:r>
      <w:r>
        <w:rPr>
          <w:color w:val="000000"/>
          <w:szCs w:val="20"/>
          <w:shd w:val="clear" w:color="auto" w:fill="FFFFFF"/>
          <w:lang w:eastAsia="en-US" w:bidi="ar-SA"/>
        </w:rPr>
        <w:t>: poniżej 0,60 ocena 0; od 0,60 do 1,00 ocena 4; powyżej 1,00 do 1,50 ocena 8; powyżej 1,50 do 3,00 ocena 12; powyżej 3,00 lub jeżeli zobowiązania krótkoterminowe = 0 zł ocena 10.</w:t>
      </w:r>
    </w:p>
    <w:p w:rsidR="00AC5FCD" w:rsidRDefault="009C7753">
      <w:pPr>
        <w:tabs>
          <w:tab w:val="left" w:pos="360"/>
        </w:tabs>
        <w:spacing w:after="200" w:line="276" w:lineRule="auto"/>
        <w:ind w:left="426"/>
        <w:jc w:val="both"/>
        <w:rPr>
          <w:i/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u w:val="single"/>
          <w:shd w:val="clear" w:color="auto" w:fill="FFFFFF"/>
          <w:lang w:eastAsia="en-US" w:bidi="ar-SA"/>
        </w:rPr>
        <w:t>wskaźnik szybkiej płynności =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>
        <w:rPr>
          <w:i/>
          <w:color w:val="000000"/>
          <w:szCs w:val="20"/>
          <w:shd w:val="clear" w:color="auto" w:fill="FFFFFF"/>
          <w:lang w:eastAsia="en-US" w:bidi="ar-SA"/>
        </w:rPr>
        <w:t xml:space="preserve">aktywa obrotowe – należności krótkoterminowe z tytułu dostaw i usług, o okresie spłaty powyżej 12 miesięcy – krótkoterminowe rozliczenia międzyokresowe (czynne) – zapasy </w:t>
      </w:r>
      <w:r>
        <w:rPr>
          <w:b/>
          <w:i/>
          <w:color w:val="000000"/>
          <w:szCs w:val="20"/>
          <w:shd w:val="clear" w:color="auto" w:fill="FFFFFF"/>
          <w:lang w:eastAsia="en-US" w:bidi="ar-SA"/>
        </w:rPr>
        <w:t>/</w:t>
      </w:r>
      <w:r>
        <w:rPr>
          <w:i/>
          <w:color w:val="000000"/>
          <w:szCs w:val="20"/>
          <w:shd w:val="clear" w:color="auto" w:fill="FFFFFF"/>
          <w:lang w:eastAsia="en-US" w:bidi="ar-SA"/>
        </w:rPr>
        <w:t xml:space="preserve"> zobowiązania krótkoterminowe – zobowiązania z tytułu dostaw i usług, o okresie wymagalności powyżej 12 miesięcy + rezerwy na zobowiązania krótkoterminowe</w:t>
      </w:r>
    </w:p>
    <w:p w:rsidR="00AC5FCD" w:rsidRDefault="009C7753">
      <w:pPr>
        <w:tabs>
          <w:tab w:val="left" w:pos="360"/>
        </w:tabs>
        <w:spacing w:after="200" w:line="276" w:lineRule="auto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wartość punktowa wskaźnika szybkiej płynności</w:t>
      </w:r>
      <w:r>
        <w:rPr>
          <w:color w:val="000000"/>
          <w:szCs w:val="20"/>
          <w:shd w:val="clear" w:color="auto" w:fill="FFFFFF"/>
          <w:lang w:eastAsia="en-US" w:bidi="ar-SA"/>
        </w:rPr>
        <w:t>: poniżej 0,50 ocena 0; od 0,50 do 1,00 ocena 8; powyżej 1,00 do 2,50 ocena 13; powyżej 2,50 lub jeżeli zobowiązania krótkoterminowe = 0 zł ocena 10.</w:t>
      </w:r>
    </w:p>
    <w:p w:rsidR="00AC5FCD" w:rsidRDefault="009C7753">
      <w:pPr>
        <w:numPr>
          <w:ilvl w:val="0"/>
          <w:numId w:val="3"/>
        </w:numPr>
        <w:tabs>
          <w:tab w:val="left" w:pos="360"/>
        </w:tabs>
        <w:spacing w:after="200" w:line="276" w:lineRule="auto"/>
        <w:ind w:left="285" w:hanging="285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u w:val="single"/>
          <w:shd w:val="clear" w:color="auto" w:fill="FFFFFF"/>
          <w:lang w:eastAsia="en-US" w:bidi="ar-SA"/>
        </w:rPr>
        <w:t>Wskaźniki efektywności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– wskaźniki rotacji należności i zobowiązań opisują efektywność przyjętej polityki zarządzania przepływami pieniężnymi, tzn. mogą sygnalizować ryzyko utraty płynności finansowej przez jednostkę lub w przypadku gdy wskaźniki płynności finansowej już wyraźnie wskazują na brak płynności – określają przyczyny tych problemów. </w:t>
      </w:r>
    </w:p>
    <w:p w:rsidR="00AC5FCD" w:rsidRDefault="009C7753">
      <w:pPr>
        <w:spacing w:after="200" w:line="276" w:lineRule="auto"/>
        <w:ind w:left="360"/>
        <w:jc w:val="both"/>
        <w:rPr>
          <w:i/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u w:val="single"/>
          <w:shd w:val="clear" w:color="auto" w:fill="FFFFFF"/>
          <w:lang w:eastAsia="en-US" w:bidi="ar-SA"/>
        </w:rPr>
        <w:t>wskaźnik rotacji należności (w dniach)  =</w:t>
      </w:r>
      <w:r>
        <w:rPr>
          <w:i/>
          <w:color w:val="000000"/>
          <w:szCs w:val="20"/>
          <w:shd w:val="clear" w:color="auto" w:fill="FFFFFF"/>
          <w:lang w:eastAsia="en-US" w:bidi="ar-SA"/>
        </w:rPr>
        <w:t xml:space="preserve"> średni stan należności z tytułu dostaw i usług </w:t>
      </w:r>
      <w:r>
        <w:rPr>
          <w:i/>
          <w:color w:val="000000"/>
          <w:szCs w:val="20"/>
          <w:shd w:val="clear" w:color="auto" w:fill="FFFFFF"/>
          <w:lang w:eastAsia="en-US" w:bidi="ar-SA"/>
        </w:rPr>
        <w:br/>
        <w:t xml:space="preserve">x liczba dni w okresie (365)* </w:t>
      </w:r>
      <w:r>
        <w:rPr>
          <w:b/>
          <w:i/>
          <w:color w:val="000000"/>
          <w:szCs w:val="20"/>
          <w:shd w:val="clear" w:color="auto" w:fill="FFFFFF"/>
          <w:lang w:eastAsia="en-US" w:bidi="ar-SA"/>
        </w:rPr>
        <w:t xml:space="preserve">/ </w:t>
      </w:r>
      <w:r>
        <w:rPr>
          <w:i/>
          <w:color w:val="000000"/>
          <w:szCs w:val="20"/>
          <w:shd w:val="clear" w:color="auto" w:fill="FFFFFF"/>
          <w:lang w:eastAsia="en-US" w:bidi="ar-SA"/>
        </w:rPr>
        <w:t>przychody netto ze sprzedaży produktów + przychody netto ze sprzedaży towarów i materiałów</w:t>
      </w:r>
    </w:p>
    <w:p w:rsidR="00AC5FCD" w:rsidRDefault="009C7753">
      <w:pPr>
        <w:spacing w:after="200" w:line="276" w:lineRule="auto"/>
        <w:jc w:val="both"/>
        <w:rPr>
          <w:i/>
          <w:color w:val="000000"/>
          <w:szCs w:val="20"/>
          <w:shd w:val="clear" w:color="auto" w:fill="FFFFFF"/>
          <w:lang w:eastAsia="en-US" w:bidi="ar-SA"/>
        </w:rPr>
      </w:pPr>
      <w:r>
        <w:rPr>
          <w:i/>
          <w:color w:val="000000"/>
          <w:szCs w:val="20"/>
          <w:shd w:val="clear" w:color="auto" w:fill="FFFFFF"/>
          <w:lang w:eastAsia="en-US" w:bidi="ar-SA"/>
        </w:rPr>
        <w:t>*średni stan należności z tytułu dostaw i usług to suma tych należności na koniec poprzedniego roku obrotowego i na koniec bieżącego roku obrotowego podzielona przez 2.</w:t>
      </w:r>
    </w:p>
    <w:p w:rsidR="00AC5FCD" w:rsidRDefault="009C7753">
      <w:pPr>
        <w:tabs>
          <w:tab w:val="left" w:pos="360"/>
        </w:tabs>
        <w:spacing w:after="200" w:line="276" w:lineRule="auto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wartość punktowa wskaźnika rotacji należności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: poniżej 45 dni ocena 3; od 45 dnia </w:t>
      </w:r>
      <w:r>
        <w:rPr>
          <w:color w:val="000000"/>
          <w:szCs w:val="20"/>
          <w:shd w:val="clear" w:color="auto" w:fill="FFFFFF"/>
          <w:lang w:eastAsia="en-US" w:bidi="ar-SA"/>
        </w:rPr>
        <w:br/>
        <w:t>do 60 dni ocena 2; od 61 dnia do 90 dni ocena 1; powyżej 90 dnia ocena 0.</w:t>
      </w:r>
    </w:p>
    <w:p w:rsidR="00AC5FCD" w:rsidRDefault="009C7753">
      <w:pPr>
        <w:spacing w:after="200" w:line="276" w:lineRule="auto"/>
        <w:ind w:left="426"/>
        <w:jc w:val="both"/>
        <w:rPr>
          <w:i/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u w:val="single"/>
          <w:shd w:val="clear" w:color="auto" w:fill="FFFFFF"/>
          <w:lang w:eastAsia="en-US" w:bidi="ar-SA"/>
        </w:rPr>
        <w:lastRenderedPageBreak/>
        <w:t>wskaźnik rotacji zobowiązań (w dniach)  =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>
        <w:rPr>
          <w:i/>
          <w:color w:val="000000"/>
          <w:szCs w:val="20"/>
          <w:shd w:val="clear" w:color="auto" w:fill="FFFFFF"/>
          <w:lang w:eastAsia="en-US" w:bidi="ar-SA"/>
        </w:rPr>
        <w:t xml:space="preserve">średni stan zobowiązań z tytułu dostaw </w:t>
      </w:r>
      <w:r>
        <w:rPr>
          <w:i/>
          <w:color w:val="000000"/>
          <w:szCs w:val="20"/>
          <w:shd w:val="clear" w:color="auto" w:fill="FFFFFF"/>
          <w:lang w:eastAsia="en-US" w:bidi="ar-SA"/>
        </w:rPr>
        <w:br/>
        <w:t xml:space="preserve">i usług x liczba dni w okresie (365)* </w:t>
      </w:r>
      <w:r>
        <w:rPr>
          <w:b/>
          <w:i/>
          <w:color w:val="000000"/>
          <w:szCs w:val="20"/>
          <w:shd w:val="clear" w:color="auto" w:fill="FFFFFF"/>
          <w:lang w:eastAsia="en-US" w:bidi="ar-SA"/>
        </w:rPr>
        <w:t>/</w:t>
      </w:r>
      <w:r>
        <w:rPr>
          <w:i/>
          <w:color w:val="000000"/>
          <w:szCs w:val="20"/>
          <w:shd w:val="clear" w:color="auto" w:fill="FFFFFF"/>
          <w:lang w:eastAsia="en-US" w:bidi="ar-SA"/>
        </w:rPr>
        <w:t xml:space="preserve"> przychody netto ze sprzedaży produktów</w:t>
      </w:r>
      <w:r>
        <w:rPr>
          <w:i/>
          <w:color w:val="000000"/>
          <w:szCs w:val="20"/>
          <w:shd w:val="clear" w:color="auto" w:fill="FFFFFF"/>
          <w:lang w:eastAsia="en-US" w:bidi="ar-SA"/>
        </w:rPr>
        <w:br/>
        <w:t xml:space="preserve"> + przychody netto ze sprzedaży towarów i materiałów</w:t>
      </w:r>
    </w:p>
    <w:p w:rsidR="00AC5FCD" w:rsidRDefault="009C7753">
      <w:pPr>
        <w:jc w:val="both"/>
        <w:rPr>
          <w:i/>
          <w:color w:val="000000"/>
          <w:szCs w:val="20"/>
          <w:shd w:val="clear" w:color="auto" w:fill="FFFFFF"/>
          <w:lang w:eastAsia="en-US" w:bidi="ar-SA"/>
        </w:rPr>
      </w:pPr>
      <w:r>
        <w:rPr>
          <w:i/>
          <w:color w:val="000000"/>
          <w:szCs w:val="20"/>
          <w:shd w:val="clear" w:color="auto" w:fill="FFFFFF"/>
          <w:lang w:eastAsia="en-US" w:bidi="ar-SA"/>
        </w:rPr>
        <w:t>*średni stan zobowiązań z tytułu dostaw i usług to suma tych zobowiązań na koniec poprzedniego roku obrotowego i na koniec bieżącego roku obrotowego podzielona przez 2.</w:t>
      </w:r>
    </w:p>
    <w:p w:rsidR="00AC5FCD" w:rsidRDefault="00AC5FCD">
      <w:pPr>
        <w:jc w:val="left"/>
        <w:rPr>
          <w:i/>
          <w:color w:val="000000"/>
          <w:szCs w:val="20"/>
          <w:shd w:val="clear" w:color="auto" w:fill="FFFFFF"/>
          <w:lang w:eastAsia="en-US" w:bidi="ar-SA"/>
        </w:rPr>
      </w:pPr>
    </w:p>
    <w:p w:rsidR="00AC5FCD" w:rsidRDefault="009C7753">
      <w:pPr>
        <w:tabs>
          <w:tab w:val="left" w:pos="360"/>
        </w:tabs>
        <w:spacing w:after="200" w:line="276" w:lineRule="auto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wartość punktowa wskaźnika rotacji zobowiązań</w:t>
      </w:r>
      <w:r>
        <w:rPr>
          <w:color w:val="000000"/>
          <w:szCs w:val="20"/>
          <w:shd w:val="clear" w:color="auto" w:fill="FFFFFF"/>
          <w:lang w:eastAsia="en-US" w:bidi="ar-SA"/>
        </w:rPr>
        <w:t>: do 60 dni ocena 7; od 61 dni do 90 dni ocena 4; powyżej 90 dni ocena 0.</w:t>
      </w:r>
    </w:p>
    <w:p w:rsidR="00AC5FCD" w:rsidRDefault="009C7753">
      <w:pPr>
        <w:numPr>
          <w:ilvl w:val="0"/>
          <w:numId w:val="3"/>
        </w:numPr>
        <w:tabs>
          <w:tab w:val="left" w:pos="360"/>
        </w:tabs>
        <w:spacing w:after="200" w:line="276" w:lineRule="auto"/>
        <w:ind w:left="285" w:hanging="285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u w:val="single"/>
          <w:shd w:val="clear" w:color="auto" w:fill="FFFFFF"/>
          <w:lang w:eastAsia="en-US" w:bidi="ar-SA"/>
        </w:rPr>
        <w:t>Wskaźniki zadłużenia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– zadłużenie jednostki mierzone jest wskaźnikiem zadłużenia aktywów i wskaźnikiem wypłacalności. </w:t>
      </w:r>
      <w:r>
        <w:rPr>
          <w:color w:val="000000"/>
          <w:szCs w:val="20"/>
          <w:u w:val="single"/>
          <w:shd w:val="clear" w:color="auto" w:fill="FFFFFF"/>
          <w:lang w:eastAsia="en-US" w:bidi="ar-SA"/>
        </w:rPr>
        <w:t>Wskaźnik zadłużenia aktywów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określa udział wszystkich zobowiązań i rezerw na zobowiązania (kapitałów obcych) w finansowaniu majątku jednostki, czyli informuje jaka część posiadanego majątku jednostki nie stanowi jego własności lub stanowi zabezpieczenie spłaty zobowiązań zasobami majątkowymi. </w:t>
      </w:r>
      <w:r>
        <w:rPr>
          <w:color w:val="000000"/>
          <w:szCs w:val="20"/>
          <w:u w:val="single"/>
          <w:shd w:val="clear" w:color="auto" w:fill="FFFFFF"/>
          <w:lang w:eastAsia="en-US" w:bidi="ar-SA"/>
        </w:rPr>
        <w:t>Wskaźnik wypłacalności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określa wielkość kapitałów obcych (zobowiązań i rezerw) przypadających na jednostkę kapitału (funduszu) własnego. Wysoka wartość wskaźnika wskazuje na możliwość utraty zdolności do regulowania przez podmiot zobowiązań.</w:t>
      </w:r>
    </w:p>
    <w:p w:rsidR="00AC5FCD" w:rsidRDefault="009C7753">
      <w:pPr>
        <w:spacing w:after="200" w:line="276" w:lineRule="auto"/>
        <w:ind w:left="360"/>
        <w:jc w:val="left"/>
        <w:rPr>
          <w:i/>
          <w:color w:val="000000"/>
          <w:szCs w:val="20"/>
          <w:shd w:val="clear" w:color="auto" w:fill="FFFFFF"/>
          <w:lang w:eastAsia="en-US" w:bidi="ar-SA"/>
        </w:rPr>
      </w:pPr>
      <w:r>
        <w:rPr>
          <w:i/>
          <w:color w:val="000000"/>
          <w:szCs w:val="20"/>
          <w:u w:val="single"/>
          <w:shd w:val="clear" w:color="auto" w:fill="FFFFFF"/>
          <w:lang w:eastAsia="en-US" w:bidi="ar-SA"/>
        </w:rPr>
        <w:t>wskaźnik zadłużenia aktywów (%)  =</w:t>
      </w:r>
      <w:r>
        <w:rPr>
          <w:i/>
          <w:color w:val="000000"/>
          <w:szCs w:val="20"/>
          <w:shd w:val="clear" w:color="auto" w:fill="FFFFFF"/>
          <w:lang w:eastAsia="en-US" w:bidi="ar-SA"/>
        </w:rPr>
        <w:t xml:space="preserve"> (zobowiązania długoterminowe + zobowiązania krótkoterminowe + rezerwy na zobowiązania) x 100% / aktywa razem</w:t>
      </w:r>
    </w:p>
    <w:p w:rsidR="00AC5FCD" w:rsidRDefault="009C7753">
      <w:pPr>
        <w:tabs>
          <w:tab w:val="left" w:pos="360"/>
        </w:tabs>
        <w:spacing w:after="200" w:line="276" w:lineRule="auto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wartość punktowa wskaźnika zadłużenia aktywów: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poniżej 40% ocena 10; od 40% </w:t>
      </w:r>
      <w:r>
        <w:rPr>
          <w:color w:val="000000"/>
          <w:szCs w:val="20"/>
          <w:shd w:val="clear" w:color="auto" w:fill="FFFFFF"/>
          <w:lang w:eastAsia="en-US" w:bidi="ar-SA"/>
        </w:rPr>
        <w:br/>
        <w:t>do 60% ocena 8; powyżej 60% do 80% ocena 3; powyżej 80% ocena 0.</w:t>
      </w:r>
    </w:p>
    <w:p w:rsidR="00AC5FCD" w:rsidRDefault="009C7753">
      <w:pPr>
        <w:spacing w:after="200" w:line="276" w:lineRule="auto"/>
        <w:ind w:left="426"/>
        <w:jc w:val="left"/>
        <w:rPr>
          <w:i/>
          <w:color w:val="000000"/>
          <w:szCs w:val="20"/>
          <w:shd w:val="clear" w:color="auto" w:fill="FFFFFF"/>
          <w:lang w:eastAsia="en-US" w:bidi="ar-SA"/>
        </w:rPr>
      </w:pPr>
      <w:r>
        <w:rPr>
          <w:i/>
          <w:color w:val="000000"/>
          <w:szCs w:val="20"/>
          <w:u w:val="single"/>
          <w:shd w:val="clear" w:color="auto" w:fill="FFFFFF"/>
          <w:lang w:eastAsia="en-US" w:bidi="ar-SA"/>
        </w:rPr>
        <w:t>wskaźnik wypłacalności =</w:t>
      </w:r>
      <w:r>
        <w:rPr>
          <w:i/>
          <w:color w:val="000000"/>
          <w:szCs w:val="20"/>
          <w:shd w:val="clear" w:color="auto" w:fill="FFFFFF"/>
          <w:lang w:eastAsia="en-US" w:bidi="ar-SA"/>
        </w:rPr>
        <w:t xml:space="preserve"> zobowiązania długoterminowe + zobowiązania krótkoterminowe + rezerwy na zobowiązania </w:t>
      </w:r>
      <w:r>
        <w:rPr>
          <w:b/>
          <w:i/>
          <w:color w:val="000000"/>
          <w:szCs w:val="20"/>
          <w:shd w:val="clear" w:color="auto" w:fill="FFFFFF"/>
          <w:lang w:eastAsia="en-US" w:bidi="ar-SA"/>
        </w:rPr>
        <w:t xml:space="preserve">/ </w:t>
      </w:r>
      <w:r>
        <w:rPr>
          <w:i/>
          <w:color w:val="000000"/>
          <w:szCs w:val="20"/>
          <w:shd w:val="clear" w:color="auto" w:fill="FFFFFF"/>
          <w:lang w:eastAsia="en-US" w:bidi="ar-SA"/>
        </w:rPr>
        <w:t>fundusz własny</w:t>
      </w:r>
    </w:p>
    <w:p w:rsidR="00AC5FCD" w:rsidRDefault="009C7753">
      <w:pPr>
        <w:tabs>
          <w:tab w:val="left" w:pos="360"/>
        </w:tabs>
        <w:spacing w:line="276" w:lineRule="auto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wartość punktowa wskaźnika wypłacalności</w:t>
      </w:r>
      <w:r>
        <w:rPr>
          <w:color w:val="000000"/>
          <w:szCs w:val="20"/>
          <w:shd w:val="clear" w:color="auto" w:fill="FFFFFF"/>
          <w:lang w:eastAsia="en-US" w:bidi="ar-SA"/>
        </w:rPr>
        <w:t>: od 0,0 do 0,5 ocena 10; od 0,51 do 1,0 ocena 8; od 1,01 do 2,0 ocena 6; od 2,01 do 4,0 ocena 4; powyższej 4,0 lub poniżej 0,0 ocena 0.</w:t>
      </w:r>
    </w:p>
    <w:p w:rsidR="00AC5FCD" w:rsidRDefault="009C7753">
      <w:pPr>
        <w:numPr>
          <w:ilvl w:val="0"/>
          <w:numId w:val="1"/>
        </w:numPr>
        <w:tabs>
          <w:tab w:val="left" w:pos="360"/>
        </w:tabs>
        <w:spacing w:before="240" w:after="200" w:line="276" w:lineRule="auto"/>
        <w:jc w:val="both"/>
        <w:rPr>
          <w:b/>
          <w:color w:val="00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Punktowe oceny dla określonych przedziałów wartości wskaźników.</w:t>
      </w:r>
    </w:p>
    <w:p w:rsidR="00AC5FCD" w:rsidRDefault="009C7753">
      <w:pPr>
        <w:tabs>
          <w:tab w:val="left" w:pos="360"/>
        </w:tabs>
        <w:spacing w:after="200" w:line="276" w:lineRule="auto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Sumaryczna, maksymalna możliwa ocena punktowa wszystkich wskaźników ekonomiczno-finansowych dla SPZOZ-ów wynikająca z ww. rozporządzenia (za dany rok) wynosi 70 pkt.</w:t>
      </w:r>
    </w:p>
    <w:p w:rsidR="00AC5FCD" w:rsidRDefault="00AC5FCD">
      <w:pPr>
        <w:tabs>
          <w:tab w:val="left" w:pos="360"/>
        </w:tabs>
        <w:spacing w:after="200" w:line="276" w:lineRule="auto"/>
        <w:jc w:val="both"/>
        <w:rPr>
          <w:b/>
          <w:color w:val="000000"/>
          <w:szCs w:val="20"/>
          <w:shd w:val="clear" w:color="auto" w:fill="FFFFFF"/>
          <w:lang w:eastAsia="en-US" w:bidi="ar-SA"/>
        </w:rPr>
      </w:pPr>
    </w:p>
    <w:p w:rsidR="00AC5FCD" w:rsidRDefault="009C7753">
      <w:pPr>
        <w:tabs>
          <w:tab w:val="left" w:pos="360"/>
        </w:tabs>
        <w:spacing w:after="200" w:line="276" w:lineRule="auto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br w:type="page"/>
      </w:r>
      <w:r>
        <w:rPr>
          <w:b/>
          <w:color w:val="000000"/>
          <w:szCs w:val="20"/>
          <w:shd w:val="clear" w:color="auto" w:fill="FFFFFF"/>
          <w:lang w:eastAsia="en-US" w:bidi="ar-SA"/>
        </w:rPr>
        <w:lastRenderedPageBreak/>
        <w:t>Ocena formalna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</w:t>
      </w:r>
    </w:p>
    <w:p w:rsidR="00AC5FCD" w:rsidRDefault="009C7753">
      <w:pPr>
        <w:keepNext/>
        <w:spacing w:before="240" w:after="60"/>
        <w:jc w:val="left"/>
        <w:outlineLvl w:val="0"/>
        <w:rPr>
          <w:b/>
          <w:szCs w:val="20"/>
          <w:lang w:eastAsia="en-US" w:bidi="ar-SA"/>
        </w:rPr>
      </w:pPr>
      <w:r>
        <w:rPr>
          <w:b/>
          <w:szCs w:val="20"/>
          <w:lang w:eastAsia="en-US" w:bidi="ar-SA"/>
        </w:rPr>
        <w:t>Wskaźniki MCM „Górna” w Łodzi za rok 2024</w:t>
      </w:r>
    </w:p>
    <w:p w:rsidR="00AC5FCD" w:rsidRDefault="00AC5FCD">
      <w:pPr>
        <w:keepNext/>
        <w:spacing w:before="240" w:after="60"/>
        <w:jc w:val="left"/>
        <w:outlineLvl w:val="0"/>
        <w:rPr>
          <w:b/>
          <w:szCs w:val="20"/>
          <w:lang w:eastAsia="en-US" w:bidi="ar-SA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1"/>
        <w:gridCol w:w="4297"/>
        <w:gridCol w:w="1263"/>
        <w:gridCol w:w="1361"/>
      </w:tblGrid>
      <w:tr w:rsidR="00AC5FCD">
        <w:trPr>
          <w:trHeight w:val="491"/>
        </w:trPr>
        <w:tc>
          <w:tcPr>
            <w:tcW w:w="11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vAlign w:val="center"/>
          </w:tcPr>
          <w:p w:rsidR="00AC5FCD" w:rsidRDefault="009C7753">
            <w:pP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Grupa</w:t>
            </w:r>
          </w:p>
        </w:tc>
        <w:tc>
          <w:tcPr>
            <w:tcW w:w="238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AC5FCD" w:rsidRDefault="009C7753">
            <w:pP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Wskaźniki</w:t>
            </w:r>
          </w:p>
        </w:tc>
        <w:tc>
          <w:tcPr>
            <w:tcW w:w="1464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AC5FCD" w:rsidRDefault="009C7753">
            <w:pP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2024</w:t>
            </w:r>
          </w:p>
        </w:tc>
      </w:tr>
      <w:tr w:rsidR="00AC5FCD">
        <w:trPr>
          <w:trHeight w:val="764"/>
        </w:trPr>
        <w:tc>
          <w:tcPr>
            <w:tcW w:w="11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FCD" w:rsidRDefault="00AC5FCD">
            <w:pPr>
              <w:jc w:val="lef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38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C5FCD" w:rsidRDefault="00AC5FCD">
            <w:pPr>
              <w:jc w:val="lef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C5FCD" w:rsidRDefault="009C7753">
            <w:pPr>
              <w:ind w:left="650" w:hanging="650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Wskaźnik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AC5FCD" w:rsidRDefault="009C7753">
            <w:pP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Ilość punktów</w:t>
            </w:r>
          </w:p>
        </w:tc>
      </w:tr>
      <w:tr w:rsidR="00AC5FCD">
        <w:trPr>
          <w:trHeight w:val="158"/>
        </w:trPr>
        <w:tc>
          <w:tcPr>
            <w:tcW w:w="115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C5FCD" w:rsidRDefault="009C7753">
            <w:pP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WSKAŹNIKI ZYSKOWNOŚCI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AC5FCD" w:rsidRDefault="009C7753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zyskowności  netto  (%)                                                          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5FCD" w:rsidRDefault="009C7753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1,12%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3</w:t>
            </w:r>
          </w:p>
        </w:tc>
      </w:tr>
      <w:tr w:rsidR="00AC5FCD">
        <w:trPr>
          <w:trHeight w:val="276"/>
        </w:trPr>
        <w:tc>
          <w:tcPr>
            <w:tcW w:w="115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FCD" w:rsidRDefault="00AC5FCD">
            <w:pPr>
              <w:jc w:val="lef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AC5FCD" w:rsidRDefault="009C7753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zyskowności działalności operacyjnej (%)           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5FCD" w:rsidRDefault="009C7753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0,81%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3</w:t>
            </w:r>
          </w:p>
        </w:tc>
      </w:tr>
      <w:tr w:rsidR="00AC5FCD">
        <w:trPr>
          <w:trHeight w:val="408"/>
        </w:trPr>
        <w:tc>
          <w:tcPr>
            <w:tcW w:w="115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FCD" w:rsidRDefault="00AC5FCD">
            <w:pPr>
              <w:jc w:val="lef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C5FCD" w:rsidRDefault="009C7753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zyskowność aktywów (%)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1,95%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3</w:t>
            </w:r>
          </w:p>
        </w:tc>
      </w:tr>
      <w:tr w:rsidR="00AC5FCD">
        <w:trPr>
          <w:trHeight w:val="586"/>
        </w:trPr>
        <w:tc>
          <w:tcPr>
            <w:tcW w:w="35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C5FCD" w:rsidRDefault="009C7753">
            <w:pP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Maksymalna ocena punktowa 15 pkt</w:t>
            </w:r>
          </w:p>
        </w:tc>
        <w:tc>
          <w:tcPr>
            <w:tcW w:w="70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FFCC"/>
            <w:vAlign w:val="center"/>
          </w:tcPr>
          <w:p w:rsidR="00AC5FCD" w:rsidRDefault="009C7753">
            <w:pPr>
              <w:jc w:val="lef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Razem</w:t>
            </w:r>
          </w:p>
        </w:tc>
        <w:tc>
          <w:tcPr>
            <w:tcW w:w="7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C5FCD" w:rsidRDefault="009C7753">
            <w:pP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9 (60,00%)</w:t>
            </w:r>
          </w:p>
        </w:tc>
      </w:tr>
      <w:tr w:rsidR="00AC5FCD">
        <w:trPr>
          <w:trHeight w:val="224"/>
        </w:trPr>
        <w:tc>
          <w:tcPr>
            <w:tcW w:w="115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center"/>
          </w:tcPr>
          <w:p w:rsidR="00AC5FCD" w:rsidRDefault="009C7753">
            <w:pP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WSKAŹNIKI PŁYNNOŚCI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AC5FCD" w:rsidRDefault="009C7753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bieżącej płynności                                          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5FCD" w:rsidRDefault="009C7753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1,83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12</w:t>
            </w:r>
          </w:p>
        </w:tc>
      </w:tr>
      <w:tr w:rsidR="00AC5FCD">
        <w:trPr>
          <w:trHeight w:val="214"/>
        </w:trPr>
        <w:tc>
          <w:tcPr>
            <w:tcW w:w="115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FCD" w:rsidRDefault="00AC5FCD">
            <w:pPr>
              <w:jc w:val="lef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AC5FCD" w:rsidRDefault="009C7753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szybkiej płynności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5FCD" w:rsidRDefault="009C7753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1,80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13</w:t>
            </w:r>
          </w:p>
        </w:tc>
      </w:tr>
      <w:tr w:rsidR="00AC5FCD">
        <w:trPr>
          <w:trHeight w:val="808"/>
        </w:trPr>
        <w:tc>
          <w:tcPr>
            <w:tcW w:w="35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C5FCD" w:rsidRDefault="009C7753">
            <w:pPr>
              <w:jc w:val="lef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               Maksymalna ocena punktowa 25 pkt</w:t>
            </w:r>
          </w:p>
        </w:tc>
        <w:tc>
          <w:tcPr>
            <w:tcW w:w="70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FFFF"/>
            <w:vAlign w:val="center"/>
          </w:tcPr>
          <w:p w:rsidR="00AC5FCD" w:rsidRDefault="009C7753">
            <w:pPr>
              <w:jc w:val="lef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Razem</w:t>
            </w:r>
          </w:p>
        </w:tc>
        <w:tc>
          <w:tcPr>
            <w:tcW w:w="7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center"/>
          </w:tcPr>
          <w:p w:rsidR="00AC5FCD" w:rsidRDefault="009C7753">
            <w:pP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25 (100%)</w:t>
            </w:r>
          </w:p>
        </w:tc>
      </w:tr>
      <w:tr w:rsidR="00AC5FCD">
        <w:trPr>
          <w:trHeight w:val="256"/>
        </w:trPr>
        <w:tc>
          <w:tcPr>
            <w:tcW w:w="115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C5FCD" w:rsidRDefault="009C7753">
            <w:pP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WSKAŹNIKI EFEKTYWNOŚCI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AC5FCD" w:rsidRDefault="009C7753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rotacji należności (w dniach)                          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5FCD" w:rsidRDefault="009C7753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30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3</w:t>
            </w:r>
          </w:p>
        </w:tc>
      </w:tr>
      <w:tr w:rsidR="00AC5FCD">
        <w:trPr>
          <w:trHeight w:val="374"/>
        </w:trPr>
        <w:tc>
          <w:tcPr>
            <w:tcW w:w="115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FCD" w:rsidRDefault="00AC5FCD">
            <w:pPr>
              <w:jc w:val="lef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AC5FCD" w:rsidRDefault="009C7753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rotacji zobowiązań (w dniach)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5FCD" w:rsidRDefault="009C7753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7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7</w:t>
            </w:r>
          </w:p>
        </w:tc>
      </w:tr>
      <w:tr w:rsidR="00AC5FCD">
        <w:trPr>
          <w:trHeight w:val="585"/>
        </w:trPr>
        <w:tc>
          <w:tcPr>
            <w:tcW w:w="35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C5FCD" w:rsidRDefault="009C7753">
            <w:pPr>
              <w:jc w:val="lef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                Maksymalna ocena punktowa 10 pkt</w:t>
            </w:r>
          </w:p>
        </w:tc>
        <w:tc>
          <w:tcPr>
            <w:tcW w:w="70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FFCC"/>
            <w:vAlign w:val="center"/>
          </w:tcPr>
          <w:p w:rsidR="00AC5FCD" w:rsidRDefault="009C7753">
            <w:pPr>
              <w:jc w:val="lef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Razem</w:t>
            </w:r>
          </w:p>
        </w:tc>
        <w:tc>
          <w:tcPr>
            <w:tcW w:w="7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C5FCD" w:rsidRDefault="009C7753">
            <w:pP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10 (100%)</w:t>
            </w:r>
          </w:p>
        </w:tc>
      </w:tr>
      <w:tr w:rsidR="00AC5FCD">
        <w:trPr>
          <w:trHeight w:val="777"/>
        </w:trPr>
        <w:tc>
          <w:tcPr>
            <w:tcW w:w="115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center"/>
          </w:tcPr>
          <w:p w:rsidR="00AC5FCD" w:rsidRDefault="009C7753">
            <w:pP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WSKAŹNIKI ZADŁUŻENIA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AC5FCD" w:rsidRDefault="009C7753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zadłużenia aktywów (%)                         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5FCD" w:rsidRDefault="009C7753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24%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10</w:t>
            </w:r>
          </w:p>
        </w:tc>
      </w:tr>
      <w:tr w:rsidR="00AC5FCD">
        <w:trPr>
          <w:trHeight w:val="672"/>
        </w:trPr>
        <w:tc>
          <w:tcPr>
            <w:tcW w:w="115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FCD" w:rsidRDefault="00AC5FCD">
            <w:pPr>
              <w:jc w:val="lef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AC5FCD" w:rsidRDefault="009C7753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wypłacalności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5FCD" w:rsidRDefault="009C7753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0,46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10</w:t>
            </w:r>
          </w:p>
        </w:tc>
      </w:tr>
      <w:tr w:rsidR="00AC5FCD">
        <w:trPr>
          <w:trHeight w:val="438"/>
        </w:trPr>
        <w:tc>
          <w:tcPr>
            <w:tcW w:w="35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C5FCD" w:rsidRDefault="009C7753">
            <w:pPr>
              <w:jc w:val="lef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                 Maksymalna ocena punktowa 20 pkt</w:t>
            </w:r>
          </w:p>
        </w:tc>
        <w:tc>
          <w:tcPr>
            <w:tcW w:w="70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FFFF"/>
            <w:vAlign w:val="center"/>
          </w:tcPr>
          <w:p w:rsidR="00AC5FCD" w:rsidRDefault="009C7753">
            <w:pPr>
              <w:jc w:val="lef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Razem</w:t>
            </w:r>
          </w:p>
        </w:tc>
        <w:tc>
          <w:tcPr>
            <w:tcW w:w="7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center"/>
          </w:tcPr>
          <w:p w:rsidR="00AC5FCD" w:rsidRDefault="009C7753">
            <w:pP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20 (100%)</w:t>
            </w:r>
          </w:p>
        </w:tc>
      </w:tr>
      <w:tr w:rsidR="00AC5FCD">
        <w:trPr>
          <w:trHeight w:val="292"/>
        </w:trPr>
        <w:tc>
          <w:tcPr>
            <w:tcW w:w="35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vAlign w:val="center"/>
          </w:tcPr>
          <w:p w:rsidR="00AC5FCD" w:rsidRDefault="009C7753">
            <w:pP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Łączna wartość punktów osiągniętych</w:t>
            </w:r>
          </w:p>
        </w:tc>
        <w:tc>
          <w:tcPr>
            <w:tcW w:w="146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AC5FCD" w:rsidRDefault="009C7753">
            <w:pP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64 (91,43%)</w:t>
            </w:r>
          </w:p>
        </w:tc>
      </w:tr>
      <w:tr w:rsidR="00AC5FCD">
        <w:trPr>
          <w:trHeight w:val="538"/>
        </w:trPr>
        <w:tc>
          <w:tcPr>
            <w:tcW w:w="35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vAlign w:val="center"/>
          </w:tcPr>
          <w:p w:rsidR="00AC5FCD" w:rsidRDefault="009C7753">
            <w:pP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Maksymalna  wartość punktów możliwych do osiągnięcia</w:t>
            </w:r>
          </w:p>
        </w:tc>
        <w:tc>
          <w:tcPr>
            <w:tcW w:w="146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AC5FCD" w:rsidRDefault="009C7753">
            <w:pP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 xml:space="preserve"> 70 (100%)</w:t>
            </w:r>
          </w:p>
        </w:tc>
      </w:tr>
    </w:tbl>
    <w:p w:rsidR="00AC5FCD" w:rsidRDefault="00AC5FCD">
      <w:pPr>
        <w:spacing w:line="276" w:lineRule="auto"/>
        <w:jc w:val="both"/>
        <w:rPr>
          <w:b/>
          <w:color w:val="000000"/>
          <w:szCs w:val="20"/>
          <w:shd w:val="clear" w:color="auto" w:fill="FFFFFF"/>
          <w:lang w:eastAsia="en-US" w:bidi="ar-SA"/>
        </w:rPr>
      </w:pPr>
    </w:p>
    <w:p w:rsidR="00AC5FCD" w:rsidRDefault="009C7753">
      <w:pPr>
        <w:tabs>
          <w:tab w:val="left" w:pos="360"/>
        </w:tabs>
        <w:spacing w:line="276" w:lineRule="auto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 xml:space="preserve">Przedstawiony przez MCM „Górna” w Łodzi raport zawiera obowiązkowe elementy wymienione w ww. ustawie i rozporządzeniu. Przedstawione w nim punktowe wartości wskaźników zostały wyliczone przez jednostkę prawidłowo i mają swoje odzwierciedlenie w składowych sprawozdania finansowego, tj. bilansie oraz rachunku zysków i strat za 2024 rok oraz prognozie na lata 2025-2027. </w:t>
      </w:r>
    </w:p>
    <w:p w:rsidR="00AC5FCD" w:rsidRDefault="009C7753">
      <w:pPr>
        <w:spacing w:line="276" w:lineRule="auto"/>
        <w:jc w:val="both"/>
        <w:rPr>
          <w:b/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Przyjęte w raporcie założenia oraz kierunki działań pozwalają na dalsze funkcjonowanie jednostki, która działalność leczniczą realizuje w zakresie: podstawowej opieki zdrowotnej (POZ) i ambulatoryjnej opieki specjalistycznej (AOS w tym świadczeń neurologicznych, ginekologicznych i położniczych, okulistycznych, otolaryngologicznych, reumatologii, kardiologii), a także rehabilitacji, stomatologii i protetyki.</w:t>
      </w:r>
    </w:p>
    <w:p w:rsidR="00AC5FCD" w:rsidRDefault="00AC5FCD">
      <w:pPr>
        <w:spacing w:line="276" w:lineRule="auto"/>
        <w:jc w:val="both"/>
        <w:rPr>
          <w:b/>
          <w:color w:val="000000"/>
          <w:szCs w:val="20"/>
          <w:shd w:val="clear" w:color="auto" w:fill="FFFFFF"/>
          <w:lang w:eastAsia="en-US" w:bidi="ar-SA"/>
        </w:rPr>
      </w:pPr>
    </w:p>
    <w:p w:rsidR="00AC5FCD" w:rsidRDefault="009C7753">
      <w:pPr>
        <w:spacing w:line="276" w:lineRule="auto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lastRenderedPageBreak/>
        <w:t>W 2024 roku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>MCM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„Górna” w Łodzi osiągnęło </w:t>
      </w:r>
      <w:r>
        <w:rPr>
          <w:b/>
          <w:color w:val="000000"/>
          <w:szCs w:val="20"/>
          <w:shd w:val="clear" w:color="auto" w:fill="FFFFFF"/>
          <w:lang w:eastAsia="en-US" w:bidi="ar-SA"/>
        </w:rPr>
        <w:t>wynik finansowy netto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w wysokości 422.492 zł (zysk), w roku 2023 osiągnął on wielkość 596.465 zł (zysk); w odniesieniu do roku 2023 nastąpił spadek wynoszący: (-)173.973 zł, co oznacza zmianę o -29,17%. Wynik finansowy netto 2024 roku </w:t>
      </w:r>
      <w:r>
        <w:rPr>
          <w:b/>
          <w:color w:val="000000"/>
          <w:szCs w:val="20"/>
          <w:shd w:val="clear" w:color="auto" w:fill="FFFFFF"/>
          <w:lang w:eastAsia="en-US" w:bidi="ar-SA"/>
        </w:rPr>
        <w:t>po dodaniu kosztów amortyzacji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wynosi (+)1.629.247 zł, </w:t>
      </w:r>
      <w:r>
        <w:rPr>
          <w:color w:val="000000"/>
          <w:szCs w:val="20"/>
          <w:shd w:val="clear" w:color="auto" w:fill="FFFFFF"/>
        </w:rPr>
        <w:br/>
      </w:r>
      <w:r>
        <w:rPr>
          <w:color w:val="000000"/>
          <w:szCs w:val="20"/>
          <w:shd w:val="clear" w:color="auto" w:fill="FFFFFF"/>
          <w:lang w:eastAsia="en-US" w:bidi="ar-SA"/>
        </w:rPr>
        <w:t>a w roku 2023 wynosił (+)1.733.925 zł.</w:t>
      </w:r>
    </w:p>
    <w:p w:rsidR="00AC5FCD" w:rsidRDefault="009C7753">
      <w:pPr>
        <w:spacing w:line="276" w:lineRule="auto"/>
        <w:jc w:val="both"/>
        <w:rPr>
          <w:color w:val="000000"/>
          <w:szCs w:val="20"/>
          <w:shd w:val="clear" w:color="auto" w:fill="FFFFFF"/>
          <w:lang w:eastAsia="en-US" w:bidi="ar-SA"/>
        </w:rPr>
      </w:pPr>
      <w:bookmarkStart w:id="2" w:name="_Hlk172631842"/>
      <w:r>
        <w:rPr>
          <w:color w:val="000000"/>
          <w:szCs w:val="20"/>
          <w:shd w:val="clear" w:color="auto" w:fill="FFFFFF"/>
          <w:lang w:eastAsia="en-US" w:bidi="ar-SA"/>
        </w:rPr>
        <w:t xml:space="preserve">Na </w:t>
      </w:r>
      <w:r>
        <w:rPr>
          <w:b/>
          <w:color w:val="000000"/>
          <w:szCs w:val="20"/>
          <w:shd w:val="clear" w:color="auto" w:fill="FFFFFF"/>
          <w:lang w:eastAsia="en-US" w:bidi="ar-SA"/>
        </w:rPr>
        <w:t>działalności operacyjnej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jednostka osiągnęła wynik finansowy w wysokości </w:t>
      </w:r>
      <w:r>
        <w:rPr>
          <w:color w:val="000000"/>
          <w:szCs w:val="20"/>
          <w:shd w:val="clear" w:color="auto" w:fill="FFFFFF"/>
          <w:lang w:eastAsia="en-US" w:bidi="ar-SA"/>
        </w:rPr>
        <w:br/>
        <w:t>(+)304.454 zł, w roku 2023 osiągnął on wielkość (+)417.604 zł; w odniesieniu do roku 2023 nastąpił spadek wynoszący (-)113.150 zł, co oznacza zmianę o 27,09%</w:t>
      </w:r>
      <w:bookmarkStart w:id="3" w:name="_Hlk135145504"/>
      <w:bookmarkStart w:id="4" w:name="_Hlk135143668"/>
      <w:r>
        <w:rPr>
          <w:color w:val="000000"/>
          <w:szCs w:val="20"/>
          <w:shd w:val="clear" w:color="auto" w:fill="FFFFFF"/>
          <w:lang w:eastAsia="en-US" w:bidi="ar-SA"/>
        </w:rPr>
        <w:t>.</w:t>
      </w:r>
      <w:bookmarkEnd w:id="2"/>
    </w:p>
    <w:p w:rsidR="00AC5FCD" w:rsidRDefault="009C7753">
      <w:pPr>
        <w:spacing w:before="240"/>
        <w:jc w:val="both"/>
        <w:rPr>
          <w:b/>
          <w:color w:val="00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Przychody (zł) wyciąg z rachunku zysków i strat MCM „Górna” w Łodzi na lata 2023-2024</w:t>
      </w:r>
    </w:p>
    <w:tbl>
      <w:tblPr>
        <w:tblW w:w="514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5"/>
        <w:gridCol w:w="1383"/>
        <w:gridCol w:w="1379"/>
        <w:gridCol w:w="1342"/>
      </w:tblGrid>
      <w:tr w:rsidR="00AC5FCD">
        <w:trPr>
          <w:trHeight w:val="177"/>
          <w:jc w:val="center"/>
        </w:trPr>
        <w:tc>
          <w:tcPr>
            <w:tcW w:w="2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tabs>
                <w:tab w:val="left" w:pos="1530"/>
              </w:tabs>
              <w:spacing w:line="276" w:lineRule="auto"/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Pozycje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5FCD" w:rsidRDefault="009C7753">
            <w:pPr>
              <w:spacing w:line="276" w:lineRule="auto"/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2023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5FCD" w:rsidRDefault="009C7753">
            <w:pPr>
              <w:spacing w:line="276" w:lineRule="auto"/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2024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5FCD" w:rsidRDefault="009C7753">
            <w:pPr>
              <w:spacing w:line="276" w:lineRule="auto"/>
              <w:ind w:right="-118"/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Dynamika %</w:t>
            </w:r>
          </w:p>
        </w:tc>
      </w:tr>
      <w:tr w:rsidR="00AC5FCD">
        <w:trPr>
          <w:trHeight w:val="202"/>
          <w:jc w:val="center"/>
        </w:trPr>
        <w:tc>
          <w:tcPr>
            <w:tcW w:w="2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C5FCD" w:rsidRDefault="009C7753">
            <w:pPr>
              <w:jc w:val="lef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 xml:space="preserve">Przychody netto ze sprzedaży 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32 871 546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36 848 072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ind w:left="-230" w:firstLine="230"/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112,10%</w:t>
            </w:r>
          </w:p>
        </w:tc>
      </w:tr>
      <w:tr w:rsidR="00AC5FCD">
        <w:trPr>
          <w:trHeight w:val="300"/>
          <w:jc w:val="center"/>
        </w:trPr>
        <w:tc>
          <w:tcPr>
            <w:tcW w:w="2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C5FCD" w:rsidRDefault="009C7753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1. Sprzedanych NFZ w tym: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u w:val="single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val="single"/>
                <w:shd w:val="clear" w:color="auto" w:fill="FFFFFF"/>
                <w:lang w:eastAsia="en-US" w:bidi="ar-SA"/>
              </w:rPr>
              <w:t>30 540 609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u w:val="single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val="single"/>
                <w:shd w:val="clear" w:color="auto" w:fill="FFFFFF"/>
                <w:lang w:eastAsia="en-US" w:bidi="ar-SA"/>
              </w:rPr>
              <w:t>34 551 179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u w:val="single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val="single"/>
                <w:shd w:val="clear" w:color="auto" w:fill="FFFFFF"/>
                <w:lang w:eastAsia="en-US" w:bidi="ar-SA"/>
              </w:rPr>
              <w:t>113,13%</w:t>
            </w:r>
          </w:p>
        </w:tc>
      </w:tr>
      <w:tr w:rsidR="00AC5FCD">
        <w:trPr>
          <w:trHeight w:val="300"/>
          <w:jc w:val="center"/>
        </w:trPr>
        <w:tc>
          <w:tcPr>
            <w:tcW w:w="2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C5FCD" w:rsidRDefault="009C7753">
            <w:pPr>
              <w:ind w:firstLine="271"/>
              <w:jc w:val="lef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a. POZ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23 883 423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26 717 968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111,87%</w:t>
            </w:r>
          </w:p>
        </w:tc>
      </w:tr>
      <w:tr w:rsidR="00AC5FCD">
        <w:trPr>
          <w:trHeight w:val="70"/>
          <w:jc w:val="center"/>
        </w:trPr>
        <w:tc>
          <w:tcPr>
            <w:tcW w:w="2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C5FCD" w:rsidRDefault="009C7753">
            <w:pPr>
              <w:ind w:firstLine="271"/>
              <w:jc w:val="lef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b. ambulatoryjna opieka specjalistyczna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3 868 288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4 843 892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125,22%</w:t>
            </w:r>
          </w:p>
        </w:tc>
      </w:tr>
      <w:tr w:rsidR="00AC5FCD">
        <w:trPr>
          <w:trHeight w:val="300"/>
          <w:jc w:val="center"/>
        </w:trPr>
        <w:tc>
          <w:tcPr>
            <w:tcW w:w="2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C5FCD" w:rsidRDefault="009C7753">
            <w:pPr>
              <w:ind w:firstLine="271"/>
              <w:jc w:val="lef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c. rehabilitacja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1 429 017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1 554 732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108,80%</w:t>
            </w:r>
          </w:p>
        </w:tc>
      </w:tr>
      <w:tr w:rsidR="00AC5FCD">
        <w:trPr>
          <w:trHeight w:val="300"/>
          <w:jc w:val="center"/>
        </w:trPr>
        <w:tc>
          <w:tcPr>
            <w:tcW w:w="2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ind w:firstLine="271"/>
              <w:jc w:val="lef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d. stomatologia i ortodoncja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1 343 576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1 377 713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102,54%</w:t>
            </w:r>
          </w:p>
        </w:tc>
      </w:tr>
      <w:tr w:rsidR="00AC5FCD">
        <w:trPr>
          <w:trHeight w:val="300"/>
          <w:jc w:val="center"/>
        </w:trPr>
        <w:tc>
          <w:tcPr>
            <w:tcW w:w="2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ind w:firstLine="271"/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 xml:space="preserve">e. pozostała sprzedaż </w:t>
            </w:r>
            <w:r>
              <w:rPr>
                <w:i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NFZ (szczepienia COVID, grypa)</w:t>
            </w:r>
            <w:r>
              <w:rPr>
                <w:i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 xml:space="preserve">  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16 305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56 874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348,81%</w:t>
            </w:r>
          </w:p>
        </w:tc>
      </w:tr>
      <w:tr w:rsidR="00AC5FCD">
        <w:trPr>
          <w:trHeight w:val="300"/>
          <w:jc w:val="center"/>
        </w:trPr>
        <w:tc>
          <w:tcPr>
            <w:tcW w:w="2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C5FCD" w:rsidRDefault="009C7753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2. Pozostałych w tym: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u w:val="single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val="single"/>
                <w:shd w:val="clear" w:color="auto" w:fill="FFFFFF"/>
                <w:lang w:eastAsia="en-US" w:bidi="ar-SA"/>
              </w:rPr>
              <w:t>2 330 937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u w:val="single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val="single"/>
                <w:shd w:val="clear" w:color="auto" w:fill="FFFFFF"/>
                <w:lang w:eastAsia="en-US" w:bidi="ar-SA"/>
              </w:rPr>
              <w:t>2 296 893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u w:val="single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val="single"/>
                <w:shd w:val="clear" w:color="auto" w:fill="FFFFFF"/>
                <w:lang w:eastAsia="en-US" w:bidi="ar-SA"/>
              </w:rPr>
              <w:t>98,54%</w:t>
            </w:r>
          </w:p>
        </w:tc>
      </w:tr>
      <w:tr w:rsidR="00AC5FCD">
        <w:trPr>
          <w:trHeight w:val="300"/>
          <w:jc w:val="center"/>
        </w:trPr>
        <w:tc>
          <w:tcPr>
            <w:tcW w:w="2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ind w:firstLine="228"/>
              <w:jc w:val="lef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a. profilaktyczne działania zdrowotne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838 425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705 959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84,20%</w:t>
            </w:r>
          </w:p>
        </w:tc>
      </w:tr>
      <w:tr w:rsidR="00AC5FCD">
        <w:trPr>
          <w:trHeight w:val="300"/>
          <w:jc w:val="center"/>
        </w:trPr>
        <w:tc>
          <w:tcPr>
            <w:tcW w:w="2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C5FCD" w:rsidRDefault="009C7753">
            <w:pPr>
              <w:ind w:firstLine="228"/>
              <w:jc w:val="lef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b. pozostała sprzedaż usług  medycznych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300 387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371 315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123,61%</w:t>
            </w:r>
          </w:p>
        </w:tc>
      </w:tr>
      <w:tr w:rsidR="00AC5FCD">
        <w:trPr>
          <w:trHeight w:val="300"/>
          <w:jc w:val="center"/>
        </w:trPr>
        <w:tc>
          <w:tcPr>
            <w:tcW w:w="2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ind w:firstLine="225"/>
              <w:jc w:val="lef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c. wynajem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1 190 116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1 211 922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101,83%</w:t>
            </w:r>
          </w:p>
        </w:tc>
      </w:tr>
      <w:tr w:rsidR="00AC5FCD">
        <w:trPr>
          <w:trHeight w:val="300"/>
          <w:jc w:val="center"/>
        </w:trPr>
        <w:tc>
          <w:tcPr>
            <w:tcW w:w="2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ind w:firstLine="225"/>
              <w:jc w:val="lef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d. inne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2 009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7 697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383,13%</w:t>
            </w:r>
          </w:p>
        </w:tc>
      </w:tr>
      <w:tr w:rsidR="00AC5FCD">
        <w:trPr>
          <w:trHeight w:val="300"/>
          <w:jc w:val="center"/>
        </w:trPr>
        <w:tc>
          <w:tcPr>
            <w:tcW w:w="2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jc w:val="lef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Pozostałe przychody operacyjne w tym: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765 942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782 984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102,22%</w:t>
            </w:r>
          </w:p>
        </w:tc>
      </w:tr>
      <w:tr w:rsidR="00AC5FCD">
        <w:trPr>
          <w:trHeight w:val="300"/>
          <w:jc w:val="center"/>
        </w:trPr>
        <w:tc>
          <w:tcPr>
            <w:tcW w:w="2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numPr>
                <w:ilvl w:val="0"/>
                <w:numId w:val="4"/>
              </w:numPr>
              <w:ind w:left="555" w:hanging="284"/>
              <w:jc w:val="lef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 xml:space="preserve">dotacje </w:t>
            </w:r>
            <w:r>
              <w:rPr>
                <w:i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- dofinansowanie do wynagrodzeń z PFRON</w:t>
            </w: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 xml:space="preserve"> 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169 499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191 226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112,82%</w:t>
            </w:r>
          </w:p>
        </w:tc>
      </w:tr>
      <w:tr w:rsidR="00AC5FCD">
        <w:trPr>
          <w:trHeight w:val="300"/>
          <w:jc w:val="center"/>
        </w:trPr>
        <w:tc>
          <w:tcPr>
            <w:tcW w:w="2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ind w:firstLine="271"/>
              <w:jc w:val="lef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b. przychody z tytułu odpisów amortyzacyjnych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512 593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448 915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87,58%</w:t>
            </w:r>
          </w:p>
        </w:tc>
      </w:tr>
      <w:tr w:rsidR="00AC5FCD">
        <w:trPr>
          <w:trHeight w:val="300"/>
          <w:jc w:val="center"/>
        </w:trPr>
        <w:tc>
          <w:tcPr>
            <w:tcW w:w="2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ind w:firstLine="271"/>
              <w:jc w:val="lef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c. darowizny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45 945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42 929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93,44%</w:t>
            </w:r>
          </w:p>
        </w:tc>
      </w:tr>
      <w:tr w:rsidR="00AC5FCD">
        <w:trPr>
          <w:trHeight w:val="300"/>
          <w:jc w:val="center"/>
        </w:trPr>
        <w:tc>
          <w:tcPr>
            <w:tcW w:w="2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ind w:firstLine="271"/>
              <w:jc w:val="lef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d. pozostałe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37 905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99 914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263,59%</w:t>
            </w:r>
          </w:p>
        </w:tc>
      </w:tr>
      <w:tr w:rsidR="00AC5FCD">
        <w:trPr>
          <w:trHeight w:val="300"/>
          <w:jc w:val="center"/>
        </w:trPr>
        <w:tc>
          <w:tcPr>
            <w:tcW w:w="2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jc w:val="lef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 xml:space="preserve"> Przychody finansowe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 xml:space="preserve"> 185 622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124 947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67,31%</w:t>
            </w:r>
          </w:p>
        </w:tc>
      </w:tr>
      <w:tr w:rsidR="00AC5FCD">
        <w:trPr>
          <w:trHeight w:val="300"/>
          <w:jc w:val="center"/>
        </w:trPr>
        <w:tc>
          <w:tcPr>
            <w:tcW w:w="2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Przychody RAZEM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33 823 110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37 756 003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111,63%</w:t>
            </w:r>
          </w:p>
        </w:tc>
      </w:tr>
      <w:tr w:rsidR="00AC5FCD">
        <w:trPr>
          <w:trHeight w:val="300"/>
          <w:jc w:val="center"/>
        </w:trPr>
        <w:tc>
          <w:tcPr>
            <w:tcW w:w="2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jc w:val="left"/>
              <w:rPr>
                <w:b/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i/>
                <w:color w:val="000000"/>
                <w:szCs w:val="20"/>
                <w:shd w:val="clear" w:color="auto" w:fill="FFFFFF"/>
                <w:lang w:eastAsia="en-US" w:bidi="ar-SA"/>
              </w:rPr>
              <w:t>Zmiana stanu produktów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i/>
                <w:color w:val="000000"/>
                <w:szCs w:val="20"/>
                <w:shd w:val="clear" w:color="auto" w:fill="FFFFFF"/>
                <w:lang w:eastAsia="en-US" w:bidi="ar-SA"/>
              </w:rPr>
              <w:t>-513 545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i/>
                <w:color w:val="000000"/>
                <w:szCs w:val="20"/>
                <w:shd w:val="clear" w:color="auto" w:fill="FFFFFF"/>
                <w:lang w:eastAsia="en-US" w:bidi="ar-SA"/>
              </w:rPr>
              <w:t>-37 164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i/>
                <w:color w:val="000000"/>
                <w:szCs w:val="20"/>
                <w:shd w:val="clear" w:color="auto" w:fill="FFFFFF"/>
                <w:lang w:eastAsia="en-US" w:bidi="ar-SA"/>
              </w:rPr>
              <w:t>7,24%</w:t>
            </w:r>
          </w:p>
        </w:tc>
      </w:tr>
      <w:tr w:rsidR="00AC5FCD">
        <w:trPr>
          <w:trHeight w:val="300"/>
          <w:jc w:val="center"/>
        </w:trPr>
        <w:tc>
          <w:tcPr>
            <w:tcW w:w="2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AC5FCD">
            <w:pPr>
              <w:jc w:val="lef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  <w:p w:rsidR="00AC5FCD" w:rsidRDefault="009C7753">
            <w:pPr>
              <w:jc w:val="lef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 xml:space="preserve">PRZYCHODY ŁĄCZNIE 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 xml:space="preserve"> 33 309 565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37 718 839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113,24%</w:t>
            </w:r>
          </w:p>
        </w:tc>
      </w:tr>
    </w:tbl>
    <w:p w:rsidR="00AC5FCD" w:rsidRDefault="009C7753">
      <w:pPr>
        <w:spacing w:before="240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 xml:space="preserve">Koszty (zł) wyciąg z rachunku zysków i strat MCM „Górna” w Łodzi na lata 2023-2024 </w:t>
      </w:r>
    </w:p>
    <w:tbl>
      <w:tblPr>
        <w:tblW w:w="515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40"/>
        <w:gridCol w:w="1401"/>
        <w:gridCol w:w="1321"/>
        <w:gridCol w:w="1583"/>
      </w:tblGrid>
      <w:tr w:rsidR="00AC5FCD">
        <w:trPr>
          <w:trHeight w:val="177"/>
          <w:jc w:val="center"/>
        </w:trPr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tabs>
                <w:tab w:val="left" w:pos="1530"/>
              </w:tabs>
              <w:spacing w:line="276" w:lineRule="auto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Pozycje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5FCD" w:rsidRDefault="009C7753">
            <w:pPr>
              <w:spacing w:line="276" w:lineRule="auto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2023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5FCD" w:rsidRDefault="009C7753">
            <w:pPr>
              <w:spacing w:line="276" w:lineRule="auto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2024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5FCD" w:rsidRDefault="009C7753">
            <w:pPr>
              <w:spacing w:line="276" w:lineRule="auto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Dynamika %</w:t>
            </w:r>
          </w:p>
        </w:tc>
      </w:tr>
      <w:tr w:rsidR="00AC5FCD">
        <w:trPr>
          <w:trHeight w:val="202"/>
          <w:jc w:val="center"/>
        </w:trPr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jc w:val="lef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Koszty działalności operacyjnej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 xml:space="preserve"> 32 697 971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37 276 950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114,00%</w:t>
            </w:r>
          </w:p>
        </w:tc>
      </w:tr>
      <w:tr w:rsidR="00AC5FCD">
        <w:trPr>
          <w:trHeight w:val="300"/>
          <w:jc w:val="center"/>
        </w:trPr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1. Amortyzacja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1 137 460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1 206 755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106,09%</w:t>
            </w:r>
          </w:p>
        </w:tc>
      </w:tr>
      <w:tr w:rsidR="00AC5FCD">
        <w:trPr>
          <w:trHeight w:val="300"/>
          <w:jc w:val="center"/>
        </w:trPr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numPr>
                <w:ilvl w:val="0"/>
                <w:numId w:val="5"/>
              </w:numPr>
              <w:ind w:left="282" w:hanging="282"/>
              <w:jc w:val="left"/>
              <w:rPr>
                <w:color w:val="000000"/>
                <w:szCs w:val="20"/>
                <w:u w:val="single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val="single"/>
                <w:shd w:val="clear" w:color="auto" w:fill="FFFFFF"/>
                <w:lang w:eastAsia="en-US" w:bidi="ar-SA"/>
              </w:rPr>
              <w:t>Zużycie materiałów i energii w tym: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u w:val="single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val="single"/>
                <w:shd w:val="clear" w:color="auto" w:fill="FFFFFF"/>
                <w:lang w:eastAsia="en-US" w:bidi="ar-SA"/>
              </w:rPr>
              <w:t>2 157 078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u w:val="single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val="single"/>
                <w:shd w:val="clear" w:color="auto" w:fill="FFFFFF"/>
                <w:lang w:eastAsia="en-US" w:bidi="ar-SA"/>
              </w:rPr>
              <w:t>2 032 212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u w:val="single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val="single"/>
                <w:shd w:val="clear" w:color="auto" w:fill="FFFFFF"/>
                <w:lang w:eastAsia="en-US" w:bidi="ar-SA"/>
              </w:rPr>
              <w:t>94,21%</w:t>
            </w:r>
          </w:p>
        </w:tc>
      </w:tr>
      <w:tr w:rsidR="00AC5FCD">
        <w:trPr>
          <w:trHeight w:val="70"/>
          <w:jc w:val="center"/>
        </w:trPr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numPr>
                <w:ilvl w:val="0"/>
                <w:numId w:val="6"/>
              </w:numPr>
              <w:tabs>
                <w:tab w:val="left" w:pos="424"/>
              </w:tabs>
              <w:ind w:hanging="218"/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Materiałów niemedycznych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660 638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591 502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89,53%</w:t>
            </w:r>
          </w:p>
        </w:tc>
      </w:tr>
      <w:tr w:rsidR="00AC5FCD">
        <w:trPr>
          <w:trHeight w:val="70"/>
          <w:jc w:val="center"/>
        </w:trPr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numPr>
                <w:ilvl w:val="0"/>
                <w:numId w:val="6"/>
              </w:numPr>
              <w:tabs>
                <w:tab w:val="left" w:pos="424"/>
              </w:tabs>
              <w:ind w:hanging="218"/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Materiałów medycznych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391 667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351 967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89,86%</w:t>
            </w:r>
          </w:p>
        </w:tc>
      </w:tr>
      <w:tr w:rsidR="00AC5FCD">
        <w:trPr>
          <w:trHeight w:val="70"/>
          <w:jc w:val="center"/>
        </w:trPr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numPr>
                <w:ilvl w:val="0"/>
                <w:numId w:val="6"/>
              </w:numPr>
              <w:tabs>
                <w:tab w:val="left" w:pos="424"/>
              </w:tabs>
              <w:ind w:hanging="218"/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Energii i wody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1 104 773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1 088 743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98,55%</w:t>
            </w:r>
          </w:p>
        </w:tc>
      </w:tr>
      <w:tr w:rsidR="00AC5FCD">
        <w:trPr>
          <w:trHeight w:val="70"/>
          <w:jc w:val="center"/>
        </w:trPr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numPr>
                <w:ilvl w:val="0"/>
                <w:numId w:val="5"/>
              </w:numPr>
              <w:ind w:left="282" w:hanging="284"/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Usługi obce w tym: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6 294 746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9 082 283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144,28%</w:t>
            </w:r>
          </w:p>
        </w:tc>
      </w:tr>
      <w:tr w:rsidR="00AC5FCD">
        <w:trPr>
          <w:trHeight w:val="300"/>
          <w:jc w:val="center"/>
        </w:trPr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numPr>
                <w:ilvl w:val="0"/>
                <w:numId w:val="7"/>
              </w:numPr>
              <w:spacing w:after="160" w:line="259" w:lineRule="auto"/>
              <w:ind w:left="742"/>
              <w:contextualSpacing/>
              <w:jc w:val="left"/>
              <w:rPr>
                <w:color w:val="000000"/>
                <w:szCs w:val="20"/>
                <w:shd w:val="clear" w:color="auto" w:fill="FFFFFF"/>
                <w:lang w:val="en-US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val="en-US" w:eastAsia="en-US" w:bidi="ar-SA"/>
              </w:rPr>
              <w:lastRenderedPageBreak/>
              <w:t>Usługi niemedyczne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2 056 703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2 203 318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107,13%</w:t>
            </w:r>
          </w:p>
        </w:tc>
      </w:tr>
      <w:tr w:rsidR="00AC5FCD">
        <w:trPr>
          <w:trHeight w:val="300"/>
          <w:jc w:val="center"/>
        </w:trPr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numPr>
                <w:ilvl w:val="0"/>
                <w:numId w:val="7"/>
              </w:numPr>
              <w:spacing w:after="160" w:line="259" w:lineRule="auto"/>
              <w:ind w:left="742"/>
              <w:contextualSpacing/>
              <w:jc w:val="left"/>
              <w:rPr>
                <w:i/>
                <w:color w:val="000000"/>
                <w:szCs w:val="20"/>
                <w:shd w:val="clear" w:color="auto" w:fill="FFFFFF"/>
                <w:lang w:val="en-US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val="en-US" w:eastAsia="en-US" w:bidi="ar-SA"/>
              </w:rPr>
              <w:t>Usługi medyczne</w:t>
            </w:r>
            <w:r>
              <w:rPr>
                <w:color w:val="000000"/>
                <w:szCs w:val="20"/>
                <w:shd w:val="clear" w:color="auto" w:fill="FFFFFF"/>
              </w:rPr>
              <w:t xml:space="preserve"> w tym: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4 238 043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6 878 965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162,31%</w:t>
            </w:r>
          </w:p>
        </w:tc>
      </w:tr>
      <w:tr w:rsidR="00AC5FCD">
        <w:trPr>
          <w:trHeight w:val="300"/>
          <w:jc w:val="center"/>
        </w:trPr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ind w:left="424"/>
              <w:jc w:val="lef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- podwykonawstwo medyczne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3 509 106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6 106 784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174,03%</w:t>
            </w:r>
          </w:p>
        </w:tc>
      </w:tr>
      <w:tr w:rsidR="00AC5FCD">
        <w:trPr>
          <w:trHeight w:val="300"/>
          <w:jc w:val="center"/>
        </w:trPr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numPr>
                <w:ilvl w:val="0"/>
                <w:numId w:val="8"/>
              </w:numPr>
              <w:ind w:left="282" w:hanging="284"/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Podatki i opłaty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129 508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153 165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118,27%</w:t>
            </w:r>
          </w:p>
        </w:tc>
      </w:tr>
      <w:tr w:rsidR="00AC5FCD">
        <w:trPr>
          <w:trHeight w:val="300"/>
          <w:jc w:val="center"/>
        </w:trPr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numPr>
                <w:ilvl w:val="0"/>
                <w:numId w:val="8"/>
              </w:numPr>
              <w:ind w:left="282" w:hanging="284"/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Wynagrodzenia w tym: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19 230 260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20 817 699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108,25%</w:t>
            </w:r>
          </w:p>
        </w:tc>
      </w:tr>
      <w:tr w:rsidR="00AC5FCD">
        <w:trPr>
          <w:trHeight w:val="300"/>
          <w:jc w:val="center"/>
        </w:trPr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numPr>
                <w:ilvl w:val="0"/>
                <w:numId w:val="9"/>
              </w:numPr>
              <w:ind w:left="566" w:hanging="284"/>
              <w:jc w:val="lef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wynagrodzenia ze stosunku pracy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 xml:space="preserve"> 18 401 436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19 884 988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108,06%</w:t>
            </w:r>
          </w:p>
        </w:tc>
      </w:tr>
      <w:tr w:rsidR="00AC5FCD">
        <w:trPr>
          <w:trHeight w:val="300"/>
          <w:jc w:val="center"/>
        </w:trPr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numPr>
                <w:ilvl w:val="0"/>
                <w:numId w:val="9"/>
              </w:numPr>
              <w:ind w:left="566" w:hanging="284"/>
              <w:jc w:val="lef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 xml:space="preserve">wynagrodzenia umowy zlecenie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522 848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697 852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133,47%</w:t>
            </w:r>
          </w:p>
        </w:tc>
      </w:tr>
      <w:tr w:rsidR="00AC5FCD">
        <w:trPr>
          <w:trHeight w:val="300"/>
          <w:jc w:val="center"/>
        </w:trPr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numPr>
                <w:ilvl w:val="0"/>
                <w:numId w:val="8"/>
              </w:numPr>
              <w:ind w:left="282" w:hanging="282"/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Ubezpieczenia społeczne i inne świadczenia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3 544 119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3 795 707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107,10%</w:t>
            </w:r>
          </w:p>
        </w:tc>
      </w:tr>
      <w:tr w:rsidR="00AC5FCD">
        <w:trPr>
          <w:trHeight w:val="300"/>
          <w:jc w:val="center"/>
        </w:trPr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numPr>
                <w:ilvl w:val="0"/>
                <w:numId w:val="8"/>
              </w:numPr>
              <w:ind w:left="282" w:hanging="284"/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Pozostałe koszty rodzajowe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204 800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189 129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92,35%</w:t>
            </w:r>
          </w:p>
        </w:tc>
      </w:tr>
      <w:tr w:rsidR="00AC5FCD">
        <w:trPr>
          <w:trHeight w:val="300"/>
          <w:jc w:val="center"/>
        </w:trPr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jc w:val="lef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Pozostałe koszty operacyjne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8 368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12 488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149,24%</w:t>
            </w:r>
          </w:p>
        </w:tc>
      </w:tr>
      <w:tr w:rsidR="00AC5FCD">
        <w:trPr>
          <w:trHeight w:val="300"/>
          <w:jc w:val="center"/>
        </w:trPr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jc w:val="lef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Koszty finansowe w tym: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 xml:space="preserve"> 6 621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5 501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83,08%</w:t>
            </w:r>
          </w:p>
        </w:tc>
      </w:tr>
      <w:tr w:rsidR="00AC5FCD">
        <w:trPr>
          <w:trHeight w:val="300"/>
          <w:jc w:val="center"/>
        </w:trPr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numPr>
                <w:ilvl w:val="0"/>
                <w:numId w:val="10"/>
              </w:numPr>
              <w:ind w:left="566" w:hanging="284"/>
              <w:jc w:val="lef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odsetki od kredytów/pożyczek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 xml:space="preserve"> 6 155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4 845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78,72%</w:t>
            </w:r>
          </w:p>
        </w:tc>
      </w:tr>
      <w:tr w:rsidR="00AC5FCD">
        <w:trPr>
          <w:trHeight w:val="300"/>
          <w:jc w:val="center"/>
        </w:trPr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numPr>
                <w:ilvl w:val="0"/>
                <w:numId w:val="11"/>
              </w:numPr>
              <w:ind w:left="567" w:hanging="1080"/>
              <w:jc w:val="left"/>
              <w:rPr>
                <w:b/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i/>
                <w:color w:val="000000"/>
                <w:szCs w:val="20"/>
                <w:shd w:val="clear" w:color="auto" w:fill="FFFFFF"/>
                <w:lang w:eastAsia="en-US" w:bidi="ar-SA"/>
              </w:rPr>
              <w:t xml:space="preserve">KOSZTY ŁĄCZNIE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i/>
                <w:color w:val="000000"/>
                <w:szCs w:val="20"/>
                <w:shd w:val="clear" w:color="auto" w:fill="FFFFFF"/>
                <w:lang w:eastAsia="en-US" w:bidi="ar-SA"/>
              </w:rPr>
              <w:t>32 712 960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i/>
                <w:color w:val="000000"/>
                <w:szCs w:val="20"/>
                <w:shd w:val="clear" w:color="auto" w:fill="FFFFFF"/>
                <w:lang w:eastAsia="en-US" w:bidi="ar-SA"/>
              </w:rPr>
              <w:t>37 294 939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i/>
                <w:color w:val="000000"/>
                <w:szCs w:val="20"/>
                <w:shd w:val="clear" w:color="auto" w:fill="FFFFFF"/>
                <w:lang w:eastAsia="en-US" w:bidi="ar-SA"/>
              </w:rPr>
              <w:t>114,01%</w:t>
            </w:r>
          </w:p>
        </w:tc>
      </w:tr>
      <w:tr w:rsidR="00AC5FCD">
        <w:trPr>
          <w:trHeight w:val="300"/>
          <w:jc w:val="center"/>
        </w:trPr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jc w:val="left"/>
              <w:rPr>
                <w:b/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i/>
                <w:color w:val="000000"/>
                <w:szCs w:val="20"/>
                <w:shd w:val="clear" w:color="auto" w:fill="FFFFFF"/>
                <w:lang w:eastAsia="en-US" w:bidi="ar-SA"/>
              </w:rPr>
              <w:t xml:space="preserve">Podatek dochodowy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i/>
                <w:color w:val="000000"/>
                <w:szCs w:val="20"/>
                <w:shd w:val="clear" w:color="auto" w:fill="FFFFFF"/>
                <w:lang w:eastAsia="en-US" w:bidi="ar-SA"/>
              </w:rPr>
              <w:t xml:space="preserve"> 140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i/>
                <w:color w:val="000000"/>
                <w:szCs w:val="20"/>
                <w:shd w:val="clear" w:color="auto" w:fill="FFFFFF"/>
                <w:lang w:eastAsia="en-US" w:bidi="ar-SA"/>
              </w:rPr>
              <w:t>1 408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i/>
                <w:color w:val="000000"/>
                <w:szCs w:val="20"/>
                <w:shd w:val="clear" w:color="auto" w:fill="FFFFFF"/>
                <w:lang w:eastAsia="en-US" w:bidi="ar-SA"/>
              </w:rPr>
              <w:t>1005,71%</w:t>
            </w:r>
          </w:p>
        </w:tc>
      </w:tr>
      <w:tr w:rsidR="00AC5FCD">
        <w:trPr>
          <w:trHeight w:val="300"/>
          <w:jc w:val="center"/>
        </w:trPr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jc w:val="lef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Koszty RAZEM (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z podatkiem)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32 713 100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37 296 347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114,01%</w:t>
            </w:r>
          </w:p>
        </w:tc>
      </w:tr>
      <w:tr w:rsidR="00AC5FCD">
        <w:trPr>
          <w:trHeight w:val="300"/>
          <w:jc w:val="center"/>
        </w:trPr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numPr>
                <w:ilvl w:val="0"/>
                <w:numId w:val="11"/>
              </w:numPr>
              <w:ind w:left="567" w:hanging="1080"/>
              <w:jc w:val="lef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 xml:space="preserve">WYNIK FINANSOWY NETTO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596 465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422 492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 xml:space="preserve">70,83% </w:t>
            </w:r>
          </w:p>
        </w:tc>
      </w:tr>
      <w:tr w:rsidR="00AC5FCD">
        <w:trPr>
          <w:trHeight w:val="300"/>
          <w:jc w:val="center"/>
        </w:trPr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jc w:val="left"/>
              <w:rPr>
                <w:b/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i/>
                <w:color w:val="000000"/>
                <w:szCs w:val="20"/>
                <w:shd w:val="clear" w:color="auto" w:fill="FFFFFF"/>
                <w:lang w:eastAsia="en-US" w:bidi="ar-SA"/>
              </w:rPr>
              <w:t>Wynik finansowy netto po dodaniu kosztów amortyzacji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i/>
                <w:color w:val="000000"/>
                <w:szCs w:val="20"/>
                <w:shd w:val="clear" w:color="auto" w:fill="FFFFFF"/>
                <w:lang w:eastAsia="en-US" w:bidi="ar-SA"/>
              </w:rPr>
              <w:t>1 733 925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i/>
                <w:color w:val="000000"/>
                <w:szCs w:val="20"/>
                <w:shd w:val="clear" w:color="auto" w:fill="FFFFFF"/>
                <w:lang w:eastAsia="en-US" w:bidi="ar-SA"/>
              </w:rPr>
              <w:t>1 629 247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i/>
                <w:color w:val="000000"/>
                <w:szCs w:val="20"/>
                <w:shd w:val="clear" w:color="auto" w:fill="FFFFFF"/>
                <w:lang w:eastAsia="en-US" w:bidi="ar-SA"/>
              </w:rPr>
              <w:t>93,96%</w:t>
            </w:r>
          </w:p>
        </w:tc>
      </w:tr>
    </w:tbl>
    <w:p w:rsidR="00AC5FCD" w:rsidRDefault="00AC5FCD">
      <w:pPr>
        <w:spacing w:line="276" w:lineRule="auto"/>
        <w:jc w:val="both"/>
        <w:rPr>
          <w:b/>
          <w:color w:val="000000"/>
          <w:szCs w:val="20"/>
          <w:shd w:val="clear" w:color="auto" w:fill="FFFFFF"/>
          <w:lang w:eastAsia="en-US" w:bidi="ar-SA"/>
        </w:rPr>
      </w:pPr>
    </w:p>
    <w:p w:rsidR="00AC5FCD" w:rsidRDefault="009C7753">
      <w:pPr>
        <w:spacing w:before="240" w:after="200" w:line="276" w:lineRule="auto"/>
        <w:jc w:val="both"/>
        <w:rPr>
          <w:b/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Osiągnięte w 2024 roku przychody ogółem pokrywały ponoszone przez jednostkę koszty ogółem. Jednostka równoważyła ponoszone koszty osiąganymi przychodami. Działalność jednostki za 2024 rok należy uznać za rentowną.</w:t>
      </w:r>
    </w:p>
    <w:p w:rsidR="00AC5FCD" w:rsidRDefault="009C7753">
      <w:pPr>
        <w:tabs>
          <w:tab w:val="left" w:pos="360"/>
        </w:tabs>
        <w:spacing w:after="200" w:line="276" w:lineRule="auto"/>
        <w:jc w:val="both"/>
        <w:rPr>
          <w:color w:val="000000"/>
          <w:szCs w:val="20"/>
          <w:shd w:val="clear" w:color="auto" w:fill="FFFFFF"/>
          <w:lang w:eastAsia="en-US" w:bidi="ar-SA"/>
        </w:rPr>
      </w:pPr>
      <w:bookmarkStart w:id="5" w:name="_Hlk172629504"/>
      <w:r>
        <w:rPr>
          <w:color w:val="000000"/>
          <w:szCs w:val="20"/>
          <w:shd w:val="clear" w:color="auto" w:fill="FFFFFF"/>
          <w:lang w:eastAsia="en-US" w:bidi="ar-SA"/>
        </w:rPr>
        <w:t xml:space="preserve">W roku 2024 MCM „Górna” </w:t>
      </w:r>
      <w:r>
        <w:rPr>
          <w:color w:val="000000"/>
          <w:szCs w:val="20"/>
          <w:shd w:val="clear" w:color="auto" w:fill="FFFFFF"/>
        </w:rPr>
        <w:t xml:space="preserve">w Łodzi: </w:t>
      </w:r>
    </w:p>
    <w:p w:rsidR="00AC5FCD" w:rsidRDefault="009C7753">
      <w:pPr>
        <w:numPr>
          <w:ilvl w:val="0"/>
          <w:numId w:val="12"/>
        </w:numPr>
        <w:tabs>
          <w:tab w:val="left" w:pos="360"/>
        </w:tabs>
        <w:spacing w:after="200" w:line="276" w:lineRule="auto"/>
        <w:ind w:left="284" w:hanging="284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 xml:space="preserve">uzyskało przychody 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w wysokości ogółem  </w:t>
      </w:r>
      <w:bookmarkEnd w:id="5"/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37.756.003 zł, </w:t>
      </w:r>
      <w:bookmarkStart w:id="6" w:name="_Hlk172630106"/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które wzrosły ogółem w porównaniu do przychodów uzyskanych w roku 2023 o </w:t>
      </w:r>
      <w:bookmarkEnd w:id="6"/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11,63%, co stanowiło kwotę 3.932.893 zł z tego: </w:t>
      </w:r>
    </w:p>
    <w:p w:rsidR="00AC5FCD" w:rsidRDefault="009C7753">
      <w:pPr>
        <w:numPr>
          <w:ilvl w:val="0"/>
          <w:numId w:val="13"/>
        </w:numPr>
        <w:tabs>
          <w:tab w:val="left" w:pos="360"/>
        </w:tabs>
        <w:spacing w:after="200" w:line="276" w:lineRule="auto"/>
        <w:ind w:left="284" w:hanging="284"/>
        <w:contextualSpacing/>
        <w:jc w:val="both"/>
        <w:rPr>
          <w:color w:val="000000"/>
          <w:szCs w:val="20"/>
          <w:shd w:val="clear" w:color="auto" w:fill="FFFFFF"/>
          <w:lang w:eastAsia="en-US" w:bidi="ar-SA"/>
        </w:rPr>
      </w:pPr>
      <w:bookmarkStart w:id="7" w:name="_Hlk207374073"/>
      <w:r>
        <w:rPr>
          <w:color w:val="000000"/>
          <w:szCs w:val="20"/>
          <w:u w:val="single"/>
          <w:shd w:val="clear" w:color="auto" w:fill="FFFFFF"/>
          <w:lang w:eastAsia="en-US" w:bidi="ar-SA"/>
        </w:rPr>
        <w:t>przychody netto ze sprzedaży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 stanowiły kwotę 36.848.072 zł i wzrosły w porównaniu do roku 2023 o 12,10%, tj. o kwotę 3.976.526 zł z tego: </w:t>
      </w:r>
    </w:p>
    <w:bookmarkEnd w:id="7"/>
    <w:p w:rsidR="00AC5FCD" w:rsidRDefault="009C7753">
      <w:pPr>
        <w:numPr>
          <w:ilvl w:val="0"/>
          <w:numId w:val="14"/>
        </w:numPr>
        <w:tabs>
          <w:tab w:val="left" w:pos="360"/>
        </w:tabs>
        <w:spacing w:after="200" w:line="276" w:lineRule="auto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przychody uzyskane w ramach umowy z NFZ stanowiły kwotę </w:t>
      </w:r>
      <w:r>
        <w:rPr>
          <w:color w:val="000000"/>
          <w:szCs w:val="20"/>
          <w:shd w:val="clear" w:color="auto" w:fill="FFFFFF"/>
          <w:lang w:eastAsia="en-US" w:bidi="ar-SA"/>
        </w:rPr>
        <w:t>34.551,179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zł, wzrosły </w:t>
      </w:r>
      <w:r>
        <w:rPr>
          <w:color w:val="000000"/>
          <w:szCs w:val="20"/>
          <w:shd w:val="clear" w:color="auto" w:fill="FFFFFF"/>
          <w:lang w:val="en-US" w:eastAsia="en-US" w:bidi="ar-SA"/>
        </w:rPr>
        <w:br/>
        <w:t>o 13,</w:t>
      </w:r>
      <w:r>
        <w:rPr>
          <w:color w:val="000000"/>
          <w:szCs w:val="20"/>
          <w:shd w:val="clear" w:color="auto" w:fill="FFFFFF"/>
          <w:lang w:eastAsia="en-US" w:bidi="ar-SA"/>
        </w:rPr>
        <w:t>13</w:t>
      </w:r>
      <w:r>
        <w:rPr>
          <w:color w:val="000000"/>
          <w:szCs w:val="20"/>
          <w:shd w:val="clear" w:color="auto" w:fill="FFFFFF"/>
          <w:lang w:val="en-US" w:eastAsia="en-US" w:bidi="ar-SA"/>
        </w:rPr>
        <w:t>%</w:t>
      </w:r>
      <w:r>
        <w:rPr>
          <w:color w:val="000000"/>
          <w:szCs w:val="20"/>
          <w:shd w:val="clear" w:color="auto" w:fill="FFFFFF"/>
          <w:lang w:eastAsia="en-US" w:bidi="ar-SA"/>
        </w:rPr>
        <w:t>,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tj. o kwotę 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4.010.570 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zł; </w:t>
      </w:r>
      <w:bookmarkStart w:id="8" w:name="_Hlk172630204"/>
      <w:r>
        <w:rPr>
          <w:color w:val="000000"/>
          <w:szCs w:val="20"/>
          <w:shd w:val="clear" w:color="auto" w:fill="FFFFFF"/>
          <w:lang w:val="en-US" w:eastAsia="en-US" w:bidi="ar-SA"/>
        </w:rPr>
        <w:t>przychody z NFZ stanowiły 91,</w:t>
      </w:r>
      <w:r>
        <w:rPr>
          <w:color w:val="000000"/>
          <w:szCs w:val="20"/>
          <w:shd w:val="clear" w:color="auto" w:fill="FFFFFF"/>
          <w:lang w:eastAsia="en-US" w:bidi="ar-SA"/>
        </w:rPr>
        <w:t>51</w:t>
      </w:r>
      <w:r>
        <w:rPr>
          <w:color w:val="000000"/>
          <w:szCs w:val="20"/>
          <w:shd w:val="clear" w:color="auto" w:fill="FFFFFF"/>
          <w:lang w:val="en-US" w:eastAsia="en-US" w:bidi="ar-SA"/>
        </w:rPr>
        <w:t>% wszystkich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en-US" w:eastAsia="en-US" w:bidi="ar-SA"/>
        </w:rPr>
        <w:t>uzyskanych w roku 2024 przychodów;</w:t>
      </w:r>
    </w:p>
    <w:p w:rsidR="00AC5FCD" w:rsidRDefault="009C7753">
      <w:pPr>
        <w:numPr>
          <w:ilvl w:val="0"/>
          <w:numId w:val="14"/>
        </w:numPr>
        <w:tabs>
          <w:tab w:val="left" w:pos="360"/>
        </w:tabs>
        <w:spacing w:after="200" w:line="276" w:lineRule="auto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realizacja profilaktycznych działań zdrowotnych i programów profilaktycznych - uzyskana kwota 705.959 zł, co stanowi 1,87 % wszystkich uzyskanych w 2024 roku przychodów w tym: finansowanych przez Miasto Łódź 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- </w:t>
      </w:r>
      <w:r>
        <w:rPr>
          <w:color w:val="000000"/>
          <w:szCs w:val="20"/>
          <w:shd w:val="clear" w:color="auto" w:fill="FFFFFF"/>
          <w:lang w:val="en-US" w:eastAsia="en-US" w:bidi="ar-SA"/>
        </w:rPr>
        <w:t>uzyskana kwota 606.355 zł oraz 99.604 zł w ramach projektu z Unii Europejskiej „Prosto do sprawności” (kwota dotacji 200.442,00 zł w roku 2024 za okres 10/2024-</w:t>
      </w:r>
      <w:r>
        <w:rPr>
          <w:color w:val="000000"/>
          <w:szCs w:val="20"/>
          <w:shd w:val="clear" w:color="auto" w:fill="FFFFFF"/>
        </w:rPr>
        <w:t>12</w:t>
      </w:r>
      <w:r>
        <w:rPr>
          <w:color w:val="000000"/>
          <w:szCs w:val="20"/>
          <w:shd w:val="clear" w:color="auto" w:fill="FFFFFF"/>
          <w:lang w:val="en-US" w:eastAsia="en-US" w:bidi="ar-SA"/>
        </w:rPr>
        <w:t>/202</w:t>
      </w:r>
      <w:r>
        <w:rPr>
          <w:color w:val="000000"/>
          <w:szCs w:val="20"/>
          <w:shd w:val="clear" w:color="auto" w:fill="FFFFFF"/>
        </w:rPr>
        <w:t>4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– w przychodach roku 2024 uwzględniono kwotę 99.604,00 zł);</w:t>
      </w:r>
    </w:p>
    <w:p w:rsidR="00AC5FCD" w:rsidRDefault="009C7753">
      <w:pPr>
        <w:numPr>
          <w:ilvl w:val="0"/>
          <w:numId w:val="14"/>
        </w:numPr>
        <w:tabs>
          <w:tab w:val="left" w:pos="360"/>
        </w:tabs>
        <w:spacing w:after="200" w:line="276" w:lineRule="auto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color w:val="000000"/>
          <w:szCs w:val="20"/>
          <w:shd w:val="clear" w:color="auto" w:fill="FFFFFF"/>
          <w:lang w:val="en-US" w:eastAsia="en-US" w:bidi="ar-SA"/>
        </w:rPr>
        <w:t>pozostała sprzedaż usług medycznych – uzyskana kwota 371.315 zł, wzrosły o 70.928 zł, tj. o 23,61%; przychody stanowią 0,98% wszystkich uzyskanych w 2024 roku przychodów; dot</w:t>
      </w:r>
      <w:r>
        <w:rPr>
          <w:color w:val="000000"/>
          <w:szCs w:val="20"/>
          <w:shd w:val="clear" w:color="auto" w:fill="FFFFFF"/>
          <w:lang w:eastAsia="en-US" w:bidi="ar-SA"/>
        </w:rPr>
        <w:t>yczyły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usług medycznych na rzecz osób fizycznych - szczepienia, badania RTG i USG, usługi z zakresu okulistyki, neurologii, laryngologii, reumatologii, lekarza POZ, stomatologii i protetyki, fizjoterapii oraz usługi medyczne świadczone </w:t>
      </w:r>
      <w:r>
        <w:rPr>
          <w:color w:val="000000"/>
          <w:szCs w:val="20"/>
          <w:shd w:val="clear" w:color="auto" w:fill="FFFFFF"/>
          <w:lang w:val="en-US" w:eastAsia="en-US" w:bidi="ar-SA"/>
        </w:rPr>
        <w:lastRenderedPageBreak/>
        <w:t>innym podmiotom; w 2024 roku zakres usług medycznych wykonywanych w ramach umów zawartych z innymi podmiotami medycznymi został poszerzony, oprócz badań RTG i USG Centrum wykonuje  ECHO serca, Holter EKG, Holter RR oraz udziela konsultacji kardiologicznych i endokrynologicznych</w:t>
      </w:r>
      <w:r>
        <w:rPr>
          <w:color w:val="000000"/>
          <w:szCs w:val="20"/>
          <w:shd w:val="clear" w:color="auto" w:fill="FFFFFF"/>
        </w:rPr>
        <w:t>;</w:t>
      </w:r>
    </w:p>
    <w:p w:rsidR="00AC5FCD" w:rsidRDefault="009C7753">
      <w:pPr>
        <w:numPr>
          <w:ilvl w:val="0"/>
          <w:numId w:val="14"/>
        </w:numPr>
        <w:tabs>
          <w:tab w:val="left" w:pos="360"/>
        </w:tabs>
        <w:spacing w:after="200" w:line="276" w:lineRule="auto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color w:val="000000"/>
          <w:szCs w:val="20"/>
          <w:shd w:val="clear" w:color="auto" w:fill="FFFFFF"/>
          <w:lang w:val="en-US" w:eastAsia="en-US" w:bidi="ar-SA"/>
        </w:rPr>
        <w:t>wynajem pomieszczeń, sprzętu i aparatury medycznej - uzyskana kwota 1.211.922 zł, wzrosły o 21.806 zł</w:t>
      </w:r>
      <w:r>
        <w:rPr>
          <w:color w:val="000000"/>
          <w:szCs w:val="20"/>
          <w:shd w:val="clear" w:color="auto" w:fill="FFFFFF"/>
          <w:lang w:eastAsia="en-US" w:bidi="ar-SA"/>
        </w:rPr>
        <w:t>,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tj. o 1,83%; przychody stanowią 3,21% wszystkich uzyskanych w 2024 roku przychodów;</w:t>
      </w:r>
    </w:p>
    <w:p w:rsidR="00AC5FCD" w:rsidRDefault="009C7753">
      <w:pPr>
        <w:numPr>
          <w:ilvl w:val="0"/>
          <w:numId w:val="14"/>
        </w:numPr>
        <w:tabs>
          <w:tab w:val="left" w:pos="360"/>
        </w:tabs>
        <w:spacing w:after="200" w:line="276" w:lineRule="auto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color w:val="000000"/>
          <w:szCs w:val="20"/>
          <w:shd w:val="clear" w:color="auto" w:fill="FFFFFF"/>
          <w:lang w:val="en-US" w:eastAsia="en-US" w:bidi="ar-SA"/>
        </w:rPr>
        <w:t>inne przychody – uzyskana kwota 7.697 zł, wzrosły o 5.688 zł, tj. o 283,13%;</w:t>
      </w:r>
    </w:p>
    <w:p w:rsidR="00AC5FCD" w:rsidRDefault="009C7753">
      <w:pPr>
        <w:numPr>
          <w:ilvl w:val="0"/>
          <w:numId w:val="13"/>
        </w:numPr>
        <w:tabs>
          <w:tab w:val="left" w:pos="360"/>
        </w:tabs>
        <w:spacing w:after="160" w:line="276" w:lineRule="auto"/>
        <w:ind w:left="284" w:hanging="284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color w:val="000000"/>
          <w:szCs w:val="20"/>
          <w:u w:val="single"/>
          <w:shd w:val="clear" w:color="auto" w:fill="FFFFFF"/>
          <w:lang w:val="en-US" w:eastAsia="en-US" w:bidi="ar-SA"/>
        </w:rPr>
        <w:t>pozostałe przychody operacyjne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– uzyskana kwota 782.984 zł, wzrosły o 17.042 zł</w:t>
      </w:r>
      <w:r>
        <w:rPr>
          <w:color w:val="000000"/>
          <w:szCs w:val="20"/>
          <w:shd w:val="clear" w:color="auto" w:fill="FFFFFF"/>
          <w:lang w:eastAsia="en-US" w:bidi="ar-SA"/>
        </w:rPr>
        <w:t>,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br/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tj. o 2,22% przychody stanowią 2,07% wszystkich uzyskanych w 2024 roku przychodów (dotyczą głównie przychodów z tytułu amortyzacji w wysokości </w:t>
      </w:r>
      <w:r>
        <w:rPr>
          <w:color w:val="000000"/>
          <w:szCs w:val="20"/>
          <w:shd w:val="clear" w:color="auto" w:fill="FFFFFF"/>
          <w:lang w:eastAsia="en-US" w:bidi="ar-SA"/>
        </w:rPr>
        <w:t>448.915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zł, dotacji z PFRON </w:t>
      </w:r>
      <w:r>
        <w:rPr>
          <w:color w:val="000000"/>
          <w:szCs w:val="20"/>
          <w:shd w:val="clear" w:color="auto" w:fill="FFFFFF"/>
          <w:lang w:eastAsia="en-US" w:bidi="ar-SA"/>
        </w:rPr>
        <w:t>191.226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zł, darowizn w wysokości </w:t>
      </w:r>
      <w:r>
        <w:rPr>
          <w:color w:val="000000"/>
          <w:szCs w:val="20"/>
          <w:shd w:val="clear" w:color="auto" w:fill="FFFFFF"/>
          <w:lang w:eastAsia="en-US" w:bidi="ar-SA"/>
        </w:rPr>
        <w:t>42.929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zł);</w:t>
      </w:r>
    </w:p>
    <w:p w:rsidR="00AC5FCD" w:rsidRDefault="009C7753">
      <w:pPr>
        <w:numPr>
          <w:ilvl w:val="0"/>
          <w:numId w:val="13"/>
        </w:numPr>
        <w:tabs>
          <w:tab w:val="left" w:pos="284"/>
        </w:tabs>
        <w:spacing w:after="160" w:line="276" w:lineRule="auto"/>
        <w:ind w:left="284" w:hanging="284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color w:val="000000"/>
          <w:szCs w:val="20"/>
          <w:u w:val="single"/>
          <w:shd w:val="clear" w:color="auto" w:fill="FFFFFF"/>
          <w:lang w:val="en-US" w:eastAsia="en-US" w:bidi="ar-SA"/>
        </w:rPr>
        <w:t>przychody finansowe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– uzyskana kwota 124.947 zł, uległy zmniejszeniu  o 60.675 zł</w:t>
      </w:r>
      <w:r>
        <w:rPr>
          <w:color w:val="000000"/>
          <w:szCs w:val="20"/>
          <w:shd w:val="clear" w:color="auto" w:fill="FFFFFF"/>
          <w:lang w:eastAsia="en-US" w:bidi="ar-SA"/>
        </w:rPr>
        <w:t>,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br/>
      </w:r>
      <w:r>
        <w:rPr>
          <w:color w:val="000000"/>
          <w:szCs w:val="20"/>
          <w:shd w:val="clear" w:color="auto" w:fill="FFFFFF"/>
          <w:lang w:val="en-US" w:eastAsia="en-US" w:bidi="ar-SA"/>
        </w:rPr>
        <w:t>tj. o 32,69%; przychody stanowią 0,33% wszystkich uzyskanych w 2024 roku przychodów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bookmarkStart w:id="9" w:name="_Hlk206593093"/>
      <w:r>
        <w:rPr>
          <w:color w:val="000000"/>
          <w:szCs w:val="20"/>
          <w:shd w:val="clear" w:color="auto" w:fill="FFFFFF"/>
          <w:lang w:eastAsia="en-US" w:bidi="ar-SA"/>
        </w:rPr>
        <w:t>(dotyczyły głównie odsetek uzyskanych od lokat bakowych kwota 121.512 zł)</w:t>
      </w:r>
      <w:bookmarkEnd w:id="8"/>
      <w:r>
        <w:rPr>
          <w:color w:val="000000"/>
          <w:szCs w:val="20"/>
          <w:shd w:val="clear" w:color="auto" w:fill="FFFFFF"/>
          <w:lang w:eastAsia="en-US" w:bidi="ar-SA"/>
        </w:rPr>
        <w:t>;</w:t>
      </w:r>
      <w:bookmarkStart w:id="10" w:name="_Hlk207374040"/>
      <w:bookmarkEnd w:id="9"/>
    </w:p>
    <w:p w:rsidR="00AC5FCD" w:rsidRDefault="009C7753">
      <w:pPr>
        <w:numPr>
          <w:ilvl w:val="0"/>
          <w:numId w:val="13"/>
        </w:numPr>
        <w:tabs>
          <w:tab w:val="left" w:pos="284"/>
        </w:tabs>
        <w:spacing w:after="160" w:line="276" w:lineRule="auto"/>
        <w:ind w:left="284" w:hanging="284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bookmarkStart w:id="11" w:name="_Hlk212720731"/>
      <w:r>
        <w:rPr>
          <w:color w:val="000000"/>
          <w:szCs w:val="20"/>
          <w:u w:val="single"/>
          <w:shd w:val="clear" w:color="auto" w:fill="FFFFFF"/>
          <w:lang w:val="en-US" w:eastAsia="en-US" w:bidi="ar-SA"/>
        </w:rPr>
        <w:t>zmiana stanu produktów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, która </w:t>
      </w:r>
      <w:r>
        <w:rPr>
          <w:color w:val="000000"/>
          <w:szCs w:val="20"/>
          <w:shd w:val="clear" w:color="auto" w:fill="FFFFFF"/>
          <w:lang w:eastAsia="en-US" w:bidi="ar-SA"/>
        </w:rPr>
        <w:t>uzyskała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 wartość ujemną (-)37.164 zł, zmniejsz</w:t>
      </w:r>
      <w:r>
        <w:rPr>
          <w:color w:val="000000"/>
          <w:szCs w:val="20"/>
          <w:shd w:val="clear" w:color="auto" w:fill="FFFFFF"/>
          <w:lang w:eastAsia="en-US" w:bidi="ar-SA"/>
        </w:rPr>
        <w:t>yła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tym samym uzyskane przychody</w:t>
      </w:r>
      <w:bookmarkEnd w:id="11"/>
      <w:r>
        <w:rPr>
          <w:color w:val="000000"/>
          <w:szCs w:val="20"/>
          <w:shd w:val="clear" w:color="auto" w:fill="FFFFFF"/>
          <w:lang w:val="en-US" w:eastAsia="en-US" w:bidi="ar-SA"/>
        </w:rPr>
        <w:t>. Zmiana stanu dotyczyła: wzrostu rezerw o kwotę 89.431,88 zł (wartość ujemna rezerwy na nagrody jubileuszowe, odprawy emerytalne, rentowe oraz rezerwę na niewykorzystane urlopy); rozliczeń międzyokresowych kosztów 52.267,16 zł (wartość dodatnia; dot</w:t>
      </w:r>
      <w:r>
        <w:rPr>
          <w:color w:val="000000"/>
          <w:szCs w:val="20"/>
          <w:shd w:val="clear" w:color="auto" w:fill="FFFFFF"/>
          <w:lang w:eastAsia="en-US" w:bidi="ar-SA"/>
        </w:rPr>
        <w:t>yczy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prenumeraty, licencji mMedica, programów antywirusowych, dzierżawy terminali płatniczych, szkoleń)</w:t>
      </w:r>
    </w:p>
    <w:p w:rsidR="00AC5FCD" w:rsidRDefault="009C7753">
      <w:pPr>
        <w:tabs>
          <w:tab w:val="left" w:pos="284"/>
        </w:tabs>
        <w:spacing w:line="276" w:lineRule="auto"/>
        <w:jc w:val="both"/>
        <w:rPr>
          <w:color w:val="000000"/>
          <w:szCs w:val="20"/>
          <w:shd w:val="clear" w:color="auto" w:fill="FFFFFF"/>
          <w:lang w:bidi="ar-SA"/>
        </w:rPr>
      </w:pPr>
      <w:r>
        <w:rPr>
          <w:color w:val="000000"/>
          <w:szCs w:val="20"/>
          <w:shd w:val="clear" w:color="auto" w:fill="FFFFFF"/>
          <w:lang w:bidi="ar-SA"/>
        </w:rPr>
        <w:t xml:space="preserve">Uwzględniając pozycję zmiana stanu produktów (wartość ujemna) </w:t>
      </w:r>
      <w:r>
        <w:rPr>
          <w:color w:val="000000"/>
          <w:szCs w:val="20"/>
          <w:u w:val="single"/>
          <w:shd w:val="clear" w:color="auto" w:fill="FFFFFF"/>
          <w:lang w:bidi="ar-SA"/>
        </w:rPr>
        <w:t>przychody ogółem roku 2024 wyniosły 37.718.839 zł i wzrosły w porównaniu do roku 2023 o 13,24%, co stanowiło kwotę 4.409.274 zł</w:t>
      </w:r>
    </w:p>
    <w:p w:rsidR="00AC5FCD" w:rsidRDefault="00AC5FCD">
      <w:pPr>
        <w:tabs>
          <w:tab w:val="left" w:pos="360"/>
        </w:tabs>
        <w:spacing w:after="120" w:line="276" w:lineRule="auto"/>
        <w:jc w:val="both"/>
        <w:rPr>
          <w:color w:val="000000"/>
          <w:szCs w:val="20"/>
          <w:shd w:val="clear" w:color="auto" w:fill="FFFFFF"/>
          <w:lang w:eastAsia="en-US" w:bidi="ar-SA"/>
        </w:rPr>
      </w:pPr>
      <w:bookmarkStart w:id="12" w:name="_Hlk172630363"/>
      <w:bookmarkEnd w:id="10"/>
    </w:p>
    <w:p w:rsidR="00AC5FCD" w:rsidRDefault="009C7753">
      <w:pPr>
        <w:numPr>
          <w:ilvl w:val="0"/>
          <w:numId w:val="12"/>
        </w:numPr>
        <w:tabs>
          <w:tab w:val="left" w:pos="360"/>
        </w:tabs>
        <w:spacing w:after="120" w:line="276" w:lineRule="auto"/>
        <w:ind w:left="142" w:hanging="142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b/>
          <w:color w:val="000000"/>
          <w:szCs w:val="20"/>
          <w:u w:val="single"/>
          <w:shd w:val="clear" w:color="auto" w:fill="FFFFFF"/>
          <w:lang w:eastAsia="en-US" w:bidi="ar-SA"/>
        </w:rPr>
        <w:t>p</w:t>
      </w:r>
      <w:r>
        <w:rPr>
          <w:b/>
          <w:color w:val="000000"/>
          <w:szCs w:val="20"/>
          <w:u w:val="single"/>
          <w:shd w:val="clear" w:color="auto" w:fill="FFFFFF"/>
          <w:lang w:val="en-US" w:eastAsia="en-US" w:bidi="ar-SA"/>
        </w:rPr>
        <w:t>on</w:t>
      </w:r>
      <w:r>
        <w:rPr>
          <w:b/>
          <w:color w:val="000000"/>
          <w:szCs w:val="20"/>
          <w:u w:val="single"/>
          <w:shd w:val="clear" w:color="auto" w:fill="FFFFFF"/>
          <w:lang w:eastAsia="en-US" w:bidi="ar-SA"/>
        </w:rPr>
        <w:t>iosło</w:t>
      </w:r>
      <w:r>
        <w:rPr>
          <w:b/>
          <w:color w:val="000000"/>
          <w:szCs w:val="20"/>
          <w:u w:val="single"/>
          <w:shd w:val="clear" w:color="auto" w:fill="FFFFFF"/>
          <w:lang w:val="en-US" w:eastAsia="en-US" w:bidi="ar-SA"/>
        </w:rPr>
        <w:t xml:space="preserve"> koszty</w:t>
      </w:r>
      <w:r>
        <w:rPr>
          <w:color w:val="000000"/>
          <w:szCs w:val="20"/>
          <w:u w:val="single"/>
          <w:shd w:val="clear" w:color="auto" w:fill="FFFFFF"/>
          <w:lang w:val="en-US" w:eastAsia="en-US" w:bidi="ar-SA"/>
        </w:rPr>
        <w:t xml:space="preserve"> ogółem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 xml:space="preserve">w 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roku 2024 (z podatkiem dochodowym) </w:t>
      </w:r>
      <w:r>
        <w:rPr>
          <w:color w:val="000000"/>
          <w:szCs w:val="20"/>
          <w:shd w:val="clear" w:color="auto" w:fill="FFFFFF"/>
          <w:lang w:eastAsia="en-US" w:bidi="ar-SA"/>
        </w:rPr>
        <w:t>w wysokości ogółem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37.296.347 zł, które w porównaniu do roku 2023 wzrosły o 14,01%</w:t>
      </w:r>
      <w:r>
        <w:rPr>
          <w:color w:val="000000"/>
          <w:szCs w:val="20"/>
          <w:shd w:val="clear" w:color="auto" w:fill="FFFFFF"/>
          <w:lang w:eastAsia="en-US" w:bidi="ar-SA"/>
        </w:rPr>
        <w:t>,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tj. o kwotę 4.583.247 zł</w:t>
      </w:r>
      <w:r>
        <w:rPr>
          <w:color w:val="000000"/>
          <w:szCs w:val="20"/>
          <w:shd w:val="clear" w:color="auto" w:fill="FFFFFF"/>
          <w:lang w:eastAsia="en-US" w:bidi="ar-SA"/>
        </w:rPr>
        <w:t>,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z tego: </w:t>
      </w:r>
    </w:p>
    <w:bookmarkEnd w:id="12"/>
    <w:p w:rsidR="00AC5FCD" w:rsidRDefault="009C7753">
      <w:pPr>
        <w:numPr>
          <w:ilvl w:val="0"/>
          <w:numId w:val="15"/>
        </w:numPr>
        <w:tabs>
          <w:tab w:val="left" w:pos="360"/>
        </w:tabs>
        <w:spacing w:after="160" w:line="276" w:lineRule="auto"/>
        <w:ind w:left="284" w:hanging="284"/>
        <w:contextualSpacing/>
        <w:jc w:val="left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color w:val="000000"/>
          <w:szCs w:val="20"/>
          <w:u w:val="single"/>
          <w:shd w:val="clear" w:color="auto" w:fill="FFFFFF"/>
          <w:lang w:val="en-US" w:eastAsia="en-US" w:bidi="ar-SA"/>
        </w:rPr>
        <w:t>koszty  działalności operacyjnej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stanowiły kwotę 37.276.950 zł i wzrosły w porównaniu do roku 2023 o 14,00%</w:t>
      </w:r>
      <w:r>
        <w:rPr>
          <w:color w:val="000000"/>
          <w:szCs w:val="20"/>
          <w:shd w:val="clear" w:color="auto" w:fill="FFFFFF"/>
          <w:lang w:eastAsia="en-US" w:bidi="ar-SA"/>
        </w:rPr>
        <w:t>,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tj. o kwotę 4.578.979 zł. </w:t>
      </w:r>
    </w:p>
    <w:p w:rsidR="00AC5FCD" w:rsidRDefault="009C7753">
      <w:pPr>
        <w:tabs>
          <w:tab w:val="left" w:pos="360"/>
        </w:tabs>
        <w:spacing w:line="276" w:lineRule="auto"/>
        <w:ind w:left="284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Najwyższy wzrost kosztów działalności operacyjnej  roku 2024 w porównaniu do roku 2023 dotyczył:</w:t>
      </w:r>
    </w:p>
    <w:p w:rsidR="00AC5FCD" w:rsidRDefault="009C7753">
      <w:pPr>
        <w:numPr>
          <w:ilvl w:val="0"/>
          <w:numId w:val="16"/>
        </w:numPr>
        <w:tabs>
          <w:tab w:val="left" w:pos="360"/>
        </w:tabs>
        <w:spacing w:after="160" w:line="276" w:lineRule="auto"/>
        <w:ind w:left="709" w:hanging="283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b/>
          <w:color w:val="000000"/>
          <w:szCs w:val="20"/>
          <w:shd w:val="clear" w:color="auto" w:fill="FFFFFF"/>
          <w:lang w:val="en-US" w:eastAsia="en-US" w:bidi="ar-SA"/>
        </w:rPr>
        <w:t>kosztów pracy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, które wyniosły 30.720.190 zł i w porównaniu do roku 2023 wzrosły </w:t>
      </w:r>
      <w:r>
        <w:rPr>
          <w:color w:val="000000"/>
          <w:szCs w:val="20"/>
          <w:shd w:val="clear" w:color="auto" w:fill="FFFFFF"/>
          <w:lang w:val="en-US" w:eastAsia="en-US" w:bidi="ar-SA"/>
        </w:rPr>
        <w:br/>
        <w:t>o 16,88%</w:t>
      </w:r>
      <w:r>
        <w:rPr>
          <w:color w:val="000000"/>
          <w:szCs w:val="20"/>
          <w:shd w:val="clear" w:color="auto" w:fill="FFFFFF"/>
          <w:lang w:eastAsia="en-US" w:bidi="ar-SA"/>
        </w:rPr>
        <w:t>,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tj. o 4.436.705 zł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z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tego: </w:t>
      </w:r>
    </w:p>
    <w:p w:rsidR="00AC5FCD" w:rsidRDefault="009C7753">
      <w:pPr>
        <w:numPr>
          <w:ilvl w:val="0"/>
          <w:numId w:val="17"/>
        </w:numPr>
        <w:spacing w:after="160" w:line="276" w:lineRule="auto"/>
        <w:ind w:left="709" w:hanging="283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color w:val="000000"/>
          <w:szCs w:val="20"/>
          <w:shd w:val="clear" w:color="auto" w:fill="FFFFFF"/>
          <w:lang w:val="en-US" w:eastAsia="en-US" w:bidi="ar-SA"/>
        </w:rPr>
        <w:t>koszty umów z personelem medycznym (podwykonawstwo medyczne) wzrost o 74,03%,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en-US" w:eastAsia="en-US" w:bidi="ar-SA"/>
        </w:rPr>
        <w:t>stanowi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en-US" w:eastAsia="en-US" w:bidi="ar-SA"/>
        </w:rPr>
        <w:t>kwotę 4.436.705 zł (z kwoty 3.509.106 zł na kwotę 6.106.784 zł),</w:t>
      </w:r>
    </w:p>
    <w:p w:rsidR="00AC5FCD" w:rsidRDefault="009C7753">
      <w:pPr>
        <w:numPr>
          <w:ilvl w:val="0"/>
          <w:numId w:val="17"/>
        </w:numPr>
        <w:spacing w:after="160" w:line="276" w:lineRule="auto"/>
        <w:ind w:left="709" w:hanging="283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koszty wynagrodzeń wzrost o 8,25%, co stanowi kwotę 1.587.439 zł (z kwoty 19.230.260 zł na kwotę 20.817.699 zł),</w:t>
      </w:r>
    </w:p>
    <w:p w:rsidR="00AC5FCD" w:rsidRDefault="009C7753">
      <w:pPr>
        <w:numPr>
          <w:ilvl w:val="0"/>
          <w:numId w:val="17"/>
        </w:numPr>
        <w:spacing w:after="160" w:line="276" w:lineRule="auto"/>
        <w:ind w:left="709" w:hanging="283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color w:val="000000"/>
          <w:szCs w:val="20"/>
          <w:shd w:val="clear" w:color="auto" w:fill="FFFFFF"/>
          <w:lang w:val="en-US" w:eastAsia="en-US" w:bidi="ar-SA"/>
        </w:rPr>
        <w:t>koszty ubezpieczeń społecznych i innych świadczeń wzrost 7,10%, co stanowi kwotę 251.588 zł (z kwoty 3.544.119 zł na kwotę 3.795.707 zł),</w:t>
      </w:r>
    </w:p>
    <w:p w:rsidR="00AC5FCD" w:rsidRDefault="009C7753">
      <w:pPr>
        <w:numPr>
          <w:ilvl w:val="0"/>
          <w:numId w:val="16"/>
        </w:numPr>
        <w:spacing w:after="160" w:line="276" w:lineRule="auto"/>
        <w:ind w:left="709" w:hanging="283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b/>
          <w:color w:val="000000"/>
          <w:szCs w:val="20"/>
          <w:shd w:val="clear" w:color="auto" w:fill="FFFFFF"/>
          <w:lang w:val="en-US" w:eastAsia="en-US" w:bidi="ar-SA"/>
        </w:rPr>
        <w:t>kosztów usług niemedycznych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– które w porównaniu do roku 2023 wzrosły o 7,13%, </w:t>
      </w:r>
      <w:r>
        <w:rPr>
          <w:color w:val="000000"/>
          <w:szCs w:val="20"/>
          <w:shd w:val="clear" w:color="auto" w:fill="FFFFFF"/>
          <w:lang w:val="en-US" w:eastAsia="en-US" w:bidi="ar-SA"/>
        </w:rPr>
        <w:br/>
        <w:t>tj. o kwotę 146.615 zł (z kwoty 2.056.703 zł na kwotę 2.203.318 zł) z tego:</w:t>
      </w:r>
    </w:p>
    <w:p w:rsidR="00AC5FCD" w:rsidRDefault="009C7753">
      <w:pPr>
        <w:numPr>
          <w:ilvl w:val="0"/>
          <w:numId w:val="18"/>
        </w:numPr>
        <w:spacing w:after="160" w:line="276" w:lineRule="auto"/>
        <w:ind w:left="993" w:hanging="284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b/>
          <w:color w:val="000000"/>
          <w:szCs w:val="20"/>
          <w:shd w:val="clear" w:color="auto" w:fill="FFFFFF"/>
          <w:lang w:val="en-US" w:eastAsia="en-US" w:bidi="ar-SA"/>
        </w:rPr>
        <w:lastRenderedPageBreak/>
        <w:t>koszt</w:t>
      </w:r>
      <w:r>
        <w:rPr>
          <w:b/>
          <w:color w:val="000000"/>
          <w:szCs w:val="20"/>
          <w:shd w:val="clear" w:color="auto" w:fill="FFFFFF"/>
          <w:lang w:val="en-US" w:eastAsia="en-US" w:bidi="en-US"/>
        </w:rPr>
        <w:t>y</w:t>
      </w:r>
      <w:r>
        <w:rPr>
          <w:b/>
          <w:color w:val="000000"/>
          <w:szCs w:val="20"/>
          <w:shd w:val="clear" w:color="auto" w:fill="FFFFFF"/>
          <w:lang w:val="en-US" w:eastAsia="en-US" w:bidi="ar-SA"/>
        </w:rPr>
        <w:t xml:space="preserve"> napraw, konserwacji i przeglądów sprzętu oraz aparatury medycznej</w:t>
      </w:r>
      <w:r>
        <w:rPr>
          <w:color w:val="000000"/>
          <w:szCs w:val="20"/>
          <w:shd w:val="clear" w:color="auto" w:fill="FFFFFF"/>
          <w:lang w:val="en-US" w:eastAsia="en-US" w:bidi="ar-SA"/>
        </w:rPr>
        <w:t>– które w porównaniu do roku 2023 wzros</w:t>
      </w:r>
      <w:r>
        <w:rPr>
          <w:color w:val="000000"/>
          <w:szCs w:val="20"/>
          <w:shd w:val="clear" w:color="auto" w:fill="FFFFFF"/>
          <w:lang w:val="en-US" w:eastAsia="en-US" w:bidi="en-US"/>
        </w:rPr>
        <w:t>ł</w:t>
      </w:r>
      <w:r>
        <w:rPr>
          <w:color w:val="000000"/>
          <w:szCs w:val="20"/>
          <w:shd w:val="clear" w:color="auto" w:fill="FFFFFF"/>
          <w:lang w:val="en-US" w:eastAsia="en-US" w:bidi="ar-SA"/>
        </w:rPr>
        <w:t>y o 77,80%, tj. o kwotę 72.847 zł (z kwoty 93.634 zł na kwotę 166.481 zł),</w:t>
      </w:r>
    </w:p>
    <w:p w:rsidR="00AC5FCD" w:rsidRDefault="009C7753">
      <w:pPr>
        <w:numPr>
          <w:ilvl w:val="0"/>
          <w:numId w:val="18"/>
        </w:numPr>
        <w:spacing w:after="160" w:line="276" w:lineRule="auto"/>
        <w:ind w:left="993" w:hanging="284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b/>
          <w:color w:val="000000"/>
          <w:szCs w:val="20"/>
          <w:shd w:val="clear" w:color="auto" w:fill="FFFFFF"/>
          <w:lang w:val="en-US" w:eastAsia="en-US" w:bidi="ar-SA"/>
        </w:rPr>
        <w:t>koszt</w:t>
      </w:r>
      <w:r>
        <w:rPr>
          <w:b/>
          <w:color w:val="000000"/>
          <w:szCs w:val="20"/>
          <w:shd w:val="clear" w:color="auto" w:fill="FFFFFF"/>
          <w:lang w:val="en-US" w:eastAsia="en-US" w:bidi="en-US"/>
        </w:rPr>
        <w:t>y</w:t>
      </w:r>
      <w:r>
        <w:rPr>
          <w:b/>
          <w:color w:val="000000"/>
          <w:szCs w:val="20"/>
          <w:shd w:val="clear" w:color="auto" w:fill="FFFFFF"/>
          <w:lang w:val="en-US" w:eastAsia="en-US" w:bidi="ar-SA"/>
        </w:rPr>
        <w:t xml:space="preserve"> usług informatycznych – 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które w porównaniu do roku 2023 wzrosły </w:t>
      </w:r>
      <w:r>
        <w:rPr>
          <w:color w:val="000000"/>
          <w:szCs w:val="20"/>
          <w:shd w:val="clear" w:color="auto" w:fill="FFFFFF"/>
          <w:lang w:val="en-US" w:eastAsia="en-US" w:bidi="ar-SA"/>
        </w:rPr>
        <w:br/>
        <w:t>o 200,80%</w:t>
      </w:r>
      <w:r>
        <w:rPr>
          <w:color w:val="000000"/>
          <w:szCs w:val="20"/>
          <w:shd w:val="clear" w:color="auto" w:fill="FFFFFF"/>
          <w:lang w:val="en-US" w:eastAsia="en-US" w:bidi="en-US"/>
        </w:rPr>
        <w:t>,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tj. o kwotę 72.292 zł </w:t>
      </w:r>
      <w:bookmarkStart w:id="13" w:name="_Hlk135144192"/>
      <w:r>
        <w:rPr>
          <w:color w:val="000000"/>
          <w:szCs w:val="20"/>
          <w:shd w:val="clear" w:color="auto" w:fill="FFFFFF"/>
          <w:lang w:val="en-US" w:eastAsia="en-US" w:bidi="ar-SA"/>
        </w:rPr>
        <w:t>(z kwoty 36.002 zł na kwotę 108.294 zł);</w:t>
      </w:r>
    </w:p>
    <w:p w:rsidR="00AC5FCD" w:rsidRDefault="009C7753">
      <w:pPr>
        <w:numPr>
          <w:ilvl w:val="0"/>
          <w:numId w:val="18"/>
        </w:numPr>
        <w:spacing w:after="160" w:line="276" w:lineRule="auto"/>
        <w:ind w:left="993" w:hanging="284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b/>
          <w:color w:val="000000"/>
          <w:szCs w:val="20"/>
          <w:shd w:val="clear" w:color="auto" w:fill="FFFFFF"/>
          <w:lang w:val="en-US" w:eastAsia="en-US" w:bidi="ar-SA"/>
        </w:rPr>
        <w:t xml:space="preserve">koszt pozostałych usług niemedycznych – </w:t>
      </w:r>
      <w:r>
        <w:rPr>
          <w:color w:val="000000"/>
          <w:szCs w:val="20"/>
          <w:shd w:val="clear" w:color="auto" w:fill="FFFFFF"/>
          <w:lang w:val="en-US" w:eastAsia="en-US" w:bidi="ar-SA"/>
        </w:rPr>
        <w:t>które w porównaniu do roku 2023 wzrosły o 14,05%, tj. o kwotę 177.784 zł (z kwoty 1.265.525 zł na kwotę 1.443.309 zł)</w:t>
      </w:r>
    </w:p>
    <w:p w:rsidR="00AC5FCD" w:rsidRDefault="009C7753">
      <w:pPr>
        <w:spacing w:afterAutospacing="1"/>
        <w:ind w:left="284"/>
        <w:jc w:val="both"/>
        <w:rPr>
          <w:color w:val="000000"/>
          <w:szCs w:val="20"/>
          <w:shd w:val="clear" w:color="auto" w:fill="FFFFFF"/>
          <w:lang w:bidi="ar-SA"/>
        </w:rPr>
      </w:pPr>
      <w:r>
        <w:rPr>
          <w:color w:val="000000"/>
          <w:szCs w:val="20"/>
          <w:shd w:val="clear" w:color="auto" w:fill="FFFFFF"/>
          <w:lang w:bidi="ar-SA"/>
        </w:rPr>
        <w:t xml:space="preserve">przy spadku kosztów niemedycznych o 10,47%%, tj. o kwotę 69.136 zł i materiałów medycznych o 10,14%, tj. o kwotę 39.700 zł. </w:t>
      </w:r>
    </w:p>
    <w:p w:rsidR="00AC5FCD" w:rsidRDefault="009C7753">
      <w:pPr>
        <w:numPr>
          <w:ilvl w:val="0"/>
          <w:numId w:val="15"/>
        </w:numPr>
        <w:tabs>
          <w:tab w:val="left" w:pos="360"/>
        </w:tabs>
        <w:spacing w:after="160" w:line="276" w:lineRule="auto"/>
        <w:ind w:left="284" w:hanging="284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color w:val="000000"/>
          <w:szCs w:val="20"/>
          <w:u w:val="single"/>
          <w:shd w:val="clear" w:color="auto" w:fill="FFFFFF"/>
          <w:lang w:val="en-US" w:eastAsia="en-US" w:bidi="ar-SA"/>
        </w:rPr>
        <w:t>pozostałe koszty działalności operacyjnej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w porównaniu do roku 2023 wzrosły o 49,24%, co stanowi kwotę 4.120 zł (z kwoty 8.368 zł na kwotę 12.488 zł); dot</w:t>
      </w:r>
      <w:r>
        <w:rPr>
          <w:color w:val="000000"/>
          <w:szCs w:val="20"/>
          <w:shd w:val="clear" w:color="auto" w:fill="FFFFFF"/>
          <w:lang w:eastAsia="en-US" w:bidi="ar-SA"/>
        </w:rPr>
        <w:t>yczyły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głównie: kosztów procesowych związanych z dochodzeniem należności i zakończeniem postępowania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(kwota 4.500 zł)</w:t>
      </w:r>
      <w:r>
        <w:rPr>
          <w:color w:val="000000"/>
          <w:szCs w:val="20"/>
          <w:shd w:val="clear" w:color="auto" w:fill="FFFFFF"/>
          <w:lang w:val="en-US" w:eastAsia="en-US" w:bidi="ar-SA"/>
        </w:rPr>
        <w:t>, kary pieniężnej nałożonej przez Łódzki Wojewódzki Inspektorat Sanitarny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>(kwota 3.900 zł)</w:t>
      </w:r>
      <w:r>
        <w:rPr>
          <w:color w:val="000000"/>
          <w:szCs w:val="20"/>
          <w:shd w:val="clear" w:color="auto" w:fill="FFFFFF"/>
          <w:lang w:val="en-US" w:eastAsia="en-US" w:bidi="ar-SA"/>
        </w:rPr>
        <w:t>, rocznej korekty podatku VAT (wer</w:t>
      </w:r>
      <w:r>
        <w:rPr>
          <w:color w:val="000000"/>
          <w:szCs w:val="20"/>
          <w:shd w:val="clear" w:color="auto" w:fill="FFFFFF"/>
          <w:lang w:eastAsia="en-US" w:bidi="ar-SA"/>
        </w:rPr>
        <w:t>y</w:t>
      </w:r>
      <w:r>
        <w:rPr>
          <w:color w:val="000000"/>
          <w:szCs w:val="20"/>
          <w:shd w:val="clear" w:color="auto" w:fill="FFFFFF"/>
          <w:lang w:val="en-US" w:eastAsia="en-US" w:bidi="ar-SA"/>
        </w:rPr>
        <w:t>fikacja 10 lat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en-US" w:eastAsia="en-US" w:bidi="ar-SA"/>
        </w:rPr>
        <w:t>kwota 1.231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en-US" w:eastAsia="en-US" w:bidi="ar-SA"/>
        </w:rPr>
        <w:t>zł</w:t>
      </w:r>
      <w:r>
        <w:rPr>
          <w:color w:val="000000"/>
          <w:szCs w:val="20"/>
          <w:shd w:val="clear" w:color="auto" w:fill="FFFFFF"/>
          <w:lang w:eastAsia="en-US" w:bidi="ar-SA"/>
        </w:rPr>
        <w:t>)</w:t>
      </w:r>
      <w:r>
        <w:rPr>
          <w:color w:val="000000"/>
          <w:szCs w:val="20"/>
          <w:shd w:val="clear" w:color="auto" w:fill="FFFFFF"/>
          <w:lang w:val="en-US" w:eastAsia="en-US" w:bidi="ar-SA"/>
        </w:rPr>
        <w:t>.</w:t>
      </w:r>
    </w:p>
    <w:p w:rsidR="00AC5FCD" w:rsidRDefault="009C7753">
      <w:pPr>
        <w:numPr>
          <w:ilvl w:val="0"/>
          <w:numId w:val="15"/>
        </w:numPr>
        <w:tabs>
          <w:tab w:val="left" w:pos="360"/>
        </w:tabs>
        <w:spacing w:after="160" w:line="276" w:lineRule="auto"/>
        <w:ind w:left="284" w:hanging="284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color w:val="000000"/>
          <w:szCs w:val="20"/>
          <w:u w:val="single"/>
          <w:shd w:val="clear" w:color="auto" w:fill="FFFFFF"/>
          <w:lang w:val="en-US" w:eastAsia="en-US" w:bidi="ar-SA"/>
        </w:rPr>
        <w:t>koszty finansowe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w porównaniu do roku 2023 uległy zmniejszeniu o 16,92%, co stanowi kwotę 1.120 zł (z kwoty 6.621 zł na kwotę 5.501 zł) i dotyczyły głównie odsetek od zaciągniętych pożyczek kwota 4.845 zł.</w:t>
      </w:r>
    </w:p>
    <w:p w:rsidR="00AC5FCD" w:rsidRDefault="00AC5FCD">
      <w:pPr>
        <w:jc w:val="both"/>
        <w:rPr>
          <w:rFonts w:ascii="Arial" w:hAnsi="Arial"/>
          <w:szCs w:val="20"/>
        </w:rPr>
      </w:pPr>
    </w:p>
    <w:p w:rsidR="00AC5FCD" w:rsidRDefault="009C7753">
      <w:pPr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Miejskie Centrum Medyczne „Górna” w Łodzi w kontekście obecnych warunków finansowych i organizacyjnych w 2024 r. podjęło następujące prace inwestycyjne:</w:t>
      </w:r>
    </w:p>
    <w:p w:rsidR="00AC5FCD" w:rsidRDefault="009C7753">
      <w:pPr>
        <w:numPr>
          <w:ilvl w:val="0"/>
          <w:numId w:val="19"/>
        </w:numPr>
        <w:spacing w:after="160" w:line="259" w:lineRule="auto"/>
        <w:ind w:left="284" w:hanging="284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color w:val="000000"/>
          <w:szCs w:val="20"/>
          <w:shd w:val="clear" w:color="auto" w:fill="FFFFFF"/>
          <w:lang w:val="en-US" w:eastAsia="en-US" w:bidi="ar-SA"/>
        </w:rPr>
        <w:t>modernizacja części pomieszczeń budynku MCM „Górna” w Łodzi przy ul</w:t>
      </w:r>
      <w:r>
        <w:rPr>
          <w:color w:val="000000"/>
          <w:szCs w:val="20"/>
          <w:shd w:val="clear" w:color="auto" w:fill="FFFFFF"/>
          <w:lang w:eastAsia="en-US" w:bidi="ar-SA"/>
        </w:rPr>
        <w:t>. </w:t>
      </w:r>
      <w:r>
        <w:rPr>
          <w:color w:val="000000"/>
          <w:szCs w:val="20"/>
          <w:shd w:val="clear" w:color="auto" w:fill="FFFFFF"/>
          <w:lang w:val="en-US" w:eastAsia="en-US" w:bidi="ar-SA"/>
        </w:rPr>
        <w:t>Rzgowskiej 170  III i IV etap prac,</w:t>
      </w:r>
    </w:p>
    <w:p w:rsidR="00AC5FCD" w:rsidRDefault="009C7753">
      <w:pPr>
        <w:numPr>
          <w:ilvl w:val="0"/>
          <w:numId w:val="19"/>
        </w:numPr>
        <w:spacing w:after="160" w:line="259" w:lineRule="auto"/>
        <w:ind w:left="284" w:hanging="284"/>
        <w:contextualSpacing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 xml:space="preserve">Dzienny Dom Opieki Medycznej w Przychodni przy ul. Odrzańskiej 29; </w:t>
      </w:r>
      <w:r>
        <w:rPr>
          <w:color w:val="000000"/>
          <w:szCs w:val="20"/>
          <w:shd w:val="clear" w:color="auto" w:fill="FFFFFF"/>
          <w:lang w:val="en-US" w:eastAsia="en-US" w:bidi="ar-SA"/>
        </w:rPr>
        <w:t>w 2023 roku rozpoczęto zadanie inwestycyjne dotyczące przebudowy pierwszego piętra budynku przy ul. Odrzańskiej 29 – została opracowana dokumentacja projektowa i kosztorysowa pod kątem dostosowania pomieszczeń do wymogów Dziennego Domu Opieki Medycznej. Z uwagi na brak źródła finansowania w 2024 roku zadanie zostało przesunięte na 2025 rok. W planie zabezpieczono środki na prace przygotowawcze do realizacji zadania. W 2024 roku poniesiono koszty inwentaryzacji podłączeń do przewodów kominowych na pierwszym piętrze budynku oraz kontrolę drożności przewodów kominowych,</w:t>
      </w:r>
    </w:p>
    <w:p w:rsidR="00AC5FCD" w:rsidRDefault="009C7753">
      <w:pPr>
        <w:numPr>
          <w:ilvl w:val="0"/>
          <w:numId w:val="19"/>
        </w:numPr>
        <w:spacing w:after="160" w:line="259" w:lineRule="auto"/>
        <w:ind w:left="284" w:hanging="284"/>
        <w:contextualSpacing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zakup sprzętu komputerowego wraz z urządzeniami peryferyjnymi oraz licencjami i oprogramowaniem - w ramach zadania zakupiono między innymi do głównej serwerowni dwie bramy bezpieczeństwa wraz z subskrypcją w celu zwiększenia ochrony danych,</w:t>
      </w:r>
    </w:p>
    <w:p w:rsidR="00AC5FCD" w:rsidRDefault="009C7753">
      <w:pPr>
        <w:numPr>
          <w:ilvl w:val="0"/>
          <w:numId w:val="19"/>
        </w:numPr>
        <w:spacing w:after="160" w:line="259" w:lineRule="auto"/>
        <w:ind w:left="284" w:hanging="284"/>
        <w:contextualSpacing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zakup sprzętu, aparatury i wyposażenia medycznego i niemedycznego do poszczególnych lokalizacji MCM „Górna” w Łodzi,</w:t>
      </w:r>
    </w:p>
    <w:p w:rsidR="00AC5FCD" w:rsidRDefault="009C7753">
      <w:pPr>
        <w:numPr>
          <w:ilvl w:val="0"/>
          <w:numId w:val="19"/>
        </w:numPr>
        <w:spacing w:after="160" w:line="259" w:lineRule="auto"/>
        <w:ind w:left="284" w:hanging="284"/>
        <w:contextualSpacing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 xml:space="preserve">zakup wyposażenia niemedycznego i mebli do poszczególnych lokalizacji MCM „Górna” </w:t>
      </w:r>
      <w:r>
        <w:rPr>
          <w:color w:val="000000"/>
          <w:szCs w:val="20"/>
          <w:shd w:val="clear" w:color="auto" w:fill="FFFFFF"/>
          <w:lang w:eastAsia="en-US" w:bidi="ar-SA"/>
        </w:rPr>
        <w:br/>
        <w:t>w Łodzi</w:t>
      </w:r>
      <w:r>
        <w:rPr>
          <w:rFonts w:ascii="Calibri" w:hAnsi="Calibri"/>
          <w:color w:val="000000"/>
          <w:sz w:val="22"/>
          <w:szCs w:val="20"/>
          <w:shd w:val="clear" w:color="auto" w:fill="FFFFFF"/>
          <w:lang w:val="en-US" w:eastAsia="en-US" w:bidi="ar-SA"/>
        </w:rPr>
        <w:t>,</w:t>
      </w:r>
    </w:p>
    <w:p w:rsidR="00AC5FCD" w:rsidRDefault="009C7753">
      <w:pPr>
        <w:numPr>
          <w:ilvl w:val="0"/>
          <w:numId w:val="19"/>
        </w:numPr>
        <w:spacing w:after="160" w:line="259" w:lineRule="auto"/>
        <w:ind w:left="284" w:hanging="284"/>
        <w:contextualSpacing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zapewnienie bezpieczeństwa pracownikom - zamontowanie kamer w rejestracjach przychodni i holach wejściowych</w:t>
      </w:r>
      <w:r>
        <w:rPr>
          <w:color w:val="000000"/>
          <w:szCs w:val="20"/>
          <w:shd w:val="clear" w:color="auto" w:fill="FFFFFF"/>
        </w:rPr>
        <w:t>,</w:t>
      </w:r>
    </w:p>
    <w:p w:rsidR="00AC5FCD" w:rsidRDefault="009C7753">
      <w:pPr>
        <w:numPr>
          <w:ilvl w:val="0"/>
          <w:numId w:val="19"/>
        </w:numPr>
        <w:spacing w:after="160" w:line="259" w:lineRule="auto"/>
        <w:ind w:left="284" w:hanging="284"/>
        <w:contextualSpacing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montaż klimatyzatorów w gabinetach USG, gabinetach diagnostyczno-zabiegowych w punktach szczepień i salach gimnastycznych w CZAS-ach,</w:t>
      </w:r>
    </w:p>
    <w:p w:rsidR="00AC5FCD" w:rsidRDefault="009C7753">
      <w:pPr>
        <w:numPr>
          <w:ilvl w:val="0"/>
          <w:numId w:val="19"/>
        </w:numPr>
        <w:spacing w:after="160" w:line="259" w:lineRule="auto"/>
        <w:ind w:left="284" w:hanging="284"/>
        <w:contextualSpacing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 xml:space="preserve">instalacja fotowoltaiczna wraz z pracami towarzyszącymi w budynkach Miejskiego Centrum Medycznego „Górna” w Łodzi, przy ul. Tatrzańskiej 109 i ul. Rzgowskiej 170 - </w:t>
      </w:r>
      <w:r>
        <w:rPr>
          <w:color w:val="000000"/>
          <w:szCs w:val="20"/>
          <w:shd w:val="clear" w:color="auto" w:fill="FFFFFF"/>
          <w:lang w:eastAsia="en-US" w:bidi="ar-SA"/>
        </w:rPr>
        <w:lastRenderedPageBreak/>
        <w:t xml:space="preserve">opracowano dokumentację projektową mającą na celu złożenie wniosku o dofinasowanie w ramach ubiegania się o dotację i pożyczkę z Wojewódzkiego Funduszu Ochrony Środowiska i Gospodarki Wodnej na montaż instalacji fotowoltaicznej wraz z pracami towarzyszącymi. </w:t>
      </w:r>
    </w:p>
    <w:p w:rsidR="00AC5FCD" w:rsidRDefault="009C7753">
      <w:pPr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 xml:space="preserve">Ogółem wartość inwestycji zwiększających rzeczowe aktywa trwałe w 2024 roku wyniosła 1.182.324,30 zł. Inwestycje zostały sfinansowane głównie ze środków własnych jednostki, dofinansowanie wyniosło 9 000 zł. </w:t>
      </w:r>
    </w:p>
    <w:p w:rsidR="00AC5FCD" w:rsidRDefault="00AC5FCD">
      <w:pPr>
        <w:spacing w:afterAutospacing="1"/>
        <w:contextualSpacing/>
        <w:jc w:val="both"/>
        <w:rPr>
          <w:color w:val="000000"/>
          <w:szCs w:val="20"/>
          <w:shd w:val="clear" w:color="auto" w:fill="FFFFFF"/>
          <w:lang w:eastAsia="en-US" w:bidi="ar-SA"/>
        </w:rPr>
      </w:pPr>
    </w:p>
    <w:p w:rsidR="00AC5FCD" w:rsidRDefault="009C7753">
      <w:pPr>
        <w:numPr>
          <w:ilvl w:val="0"/>
          <w:numId w:val="12"/>
        </w:numPr>
        <w:spacing w:after="160" w:line="276" w:lineRule="auto"/>
        <w:ind w:left="142" w:hanging="142"/>
        <w:contextualSpacing/>
        <w:jc w:val="both"/>
        <w:rPr>
          <w:b/>
          <w:color w:val="000000"/>
          <w:szCs w:val="20"/>
          <w:u w:val="single"/>
          <w:shd w:val="clear" w:color="auto" w:fill="FFFFFF"/>
          <w:lang w:val="en-US" w:eastAsia="en-US" w:bidi="ar-SA"/>
        </w:rPr>
      </w:pPr>
      <w:bookmarkStart w:id="14" w:name="_Hlk212560540"/>
      <w:r>
        <w:rPr>
          <w:b/>
          <w:color w:val="000000"/>
          <w:szCs w:val="20"/>
          <w:u w:val="single"/>
          <w:shd w:val="clear" w:color="auto" w:fill="FFFFFF"/>
          <w:lang w:eastAsia="en-US" w:bidi="ar-SA"/>
        </w:rPr>
        <w:t>Wskaźniki ekonomiczno-finansowe – ocena merytoryczna</w:t>
      </w:r>
    </w:p>
    <w:bookmarkEnd w:id="14"/>
    <w:p w:rsidR="00AC5FCD" w:rsidRDefault="00AC5FCD">
      <w:pPr>
        <w:spacing w:after="160" w:line="276" w:lineRule="auto"/>
        <w:ind w:left="142"/>
        <w:contextualSpacing/>
        <w:jc w:val="both"/>
        <w:rPr>
          <w:b/>
          <w:color w:val="000000"/>
          <w:szCs w:val="20"/>
          <w:u w:val="single"/>
          <w:shd w:val="clear" w:color="auto" w:fill="FFFFFF"/>
          <w:lang w:val="en-US" w:eastAsia="en-US" w:bidi="ar-SA"/>
        </w:rPr>
      </w:pPr>
    </w:p>
    <w:p w:rsidR="00AC5FCD" w:rsidRDefault="009C7753">
      <w:pPr>
        <w:numPr>
          <w:ilvl w:val="0"/>
          <w:numId w:val="20"/>
        </w:numPr>
        <w:spacing w:after="160" w:line="276" w:lineRule="auto"/>
        <w:ind w:left="426" w:hanging="284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b/>
          <w:color w:val="000000"/>
          <w:szCs w:val="20"/>
          <w:shd w:val="clear" w:color="auto" w:fill="FFFFFF"/>
          <w:lang w:val="en-US" w:eastAsia="en-US" w:bidi="ar-SA"/>
        </w:rPr>
        <w:t>Wskaźniki zyskowności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 - </w:t>
      </w:r>
      <w:r>
        <w:rPr>
          <w:color w:val="000000"/>
          <w:szCs w:val="20"/>
          <w:shd w:val="clear" w:color="auto" w:fill="FFFFFF"/>
          <w:lang w:val="en-US" w:eastAsia="en-US" w:bidi="en-US"/>
        </w:rPr>
        <w:t>MCM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„Górna” w Łodzi za rok 2024 osiągnęło 9 na 15 punktów w skumulowanej skali wskaźników zyskowności. </w:t>
      </w:r>
    </w:p>
    <w:p w:rsidR="00AC5FCD" w:rsidRDefault="009C7753">
      <w:pPr>
        <w:spacing w:after="160" w:line="276" w:lineRule="auto"/>
        <w:ind w:left="426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Podstawą oceny zyskowności działalności gospodarczej jest wynik finansowy. Wskaźniki zyskowności odzwierciedlają zdolność jednostki do generowania zysku, a zatem określają ekonomiczną efektywność działalności. Im większa jest nadwyżka przychodów nad kosztami prowadzonej działalności, tym wyższe są wartości wskaźników. W przypadku </w:t>
      </w:r>
      <w:r>
        <w:rPr>
          <w:color w:val="000000"/>
          <w:szCs w:val="20"/>
          <w:shd w:val="clear" w:color="auto" w:fill="FFFFFF"/>
          <w:lang w:val="en-US" w:eastAsia="en-US" w:bidi="en-US"/>
        </w:rPr>
        <w:t>MCM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„Górna” w Łodzi wskaźniki osiągają wartości dodatnie, co jest wynikiem wygenerowania zysku netto za rok 2024 i skutkuje dziewięciopunktową oceną w tym obszarze.</w:t>
      </w:r>
    </w:p>
    <w:p w:rsidR="00AC5FCD" w:rsidRDefault="00AC5FCD">
      <w:pPr>
        <w:spacing w:line="276" w:lineRule="auto"/>
        <w:jc w:val="both"/>
        <w:rPr>
          <w:color w:val="000000"/>
          <w:szCs w:val="20"/>
          <w:shd w:val="clear" w:color="auto" w:fill="FFFFFF"/>
          <w:lang w:eastAsia="en-US" w:bidi="ar-SA"/>
        </w:rPr>
      </w:pPr>
    </w:p>
    <w:tbl>
      <w:tblPr>
        <w:tblW w:w="471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9"/>
        <w:gridCol w:w="1505"/>
        <w:gridCol w:w="1661"/>
        <w:gridCol w:w="2487"/>
      </w:tblGrid>
      <w:tr w:rsidR="00AC5FCD">
        <w:trPr>
          <w:trHeight w:val="300"/>
          <w:jc w:val="center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jc w:val="lef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Wskaźnik zyskowności</w:t>
            </w:r>
          </w:p>
          <w:p w:rsidR="00AC5FCD" w:rsidRDefault="00AC5FCD">
            <w:pP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 xml:space="preserve">Wskaźnik </w:t>
            </w:r>
          </w:p>
          <w:p w:rsidR="00AC5FCD" w:rsidRDefault="009C7753">
            <w:pP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Rok 2024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 xml:space="preserve">Wskaźnik </w:t>
            </w:r>
          </w:p>
          <w:p w:rsidR="00AC5FCD" w:rsidRDefault="009C7753">
            <w:pP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Rok 2023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Analiza trendu</w:t>
            </w:r>
          </w:p>
          <w:p w:rsidR="00AC5FCD" w:rsidRDefault="009C7753">
            <w:pP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2024 do 2023</w:t>
            </w:r>
          </w:p>
        </w:tc>
      </w:tr>
      <w:tr w:rsidR="00AC5FCD">
        <w:trPr>
          <w:trHeight w:val="300"/>
          <w:jc w:val="center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zyskowności netto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1,12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C5FCD" w:rsidRDefault="009C7753">
            <w:pPr>
              <w:rPr>
                <w:szCs w:val="20"/>
              </w:rPr>
            </w:pPr>
            <w:r>
              <w:rPr>
                <w:szCs w:val="20"/>
              </w:rPr>
              <w:t>1,76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pogorszenie (-)0,64 </w:t>
            </w:r>
          </w:p>
        </w:tc>
      </w:tr>
      <w:tr w:rsidR="00AC5FCD">
        <w:trPr>
          <w:trHeight w:val="300"/>
          <w:jc w:val="center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zyskowności działalności operacyjnej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0,81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C5FCD" w:rsidRDefault="00AC5FCD">
            <w:pPr>
              <w:rPr>
                <w:szCs w:val="20"/>
              </w:rPr>
            </w:pPr>
          </w:p>
          <w:p w:rsidR="00AC5FCD" w:rsidRDefault="009C7753">
            <w:pPr>
              <w:rPr>
                <w:szCs w:val="20"/>
              </w:rPr>
            </w:pPr>
            <w:r>
              <w:rPr>
                <w:szCs w:val="20"/>
              </w:rPr>
              <w:t>1,24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pogorszenie (-)0,43</w:t>
            </w:r>
          </w:p>
        </w:tc>
      </w:tr>
      <w:tr w:rsidR="00AC5FCD">
        <w:trPr>
          <w:trHeight w:val="300"/>
          <w:jc w:val="center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numPr>
                <w:ilvl w:val="0"/>
                <w:numId w:val="11"/>
              </w:numPr>
              <w:ind w:left="30" w:hanging="543"/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zyskowności aktywów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1,95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C5FCD" w:rsidRDefault="009C7753">
            <w:pPr>
              <w:rPr>
                <w:szCs w:val="20"/>
              </w:rPr>
            </w:pPr>
            <w:r>
              <w:rPr>
                <w:szCs w:val="20"/>
              </w:rPr>
              <w:t>2,83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pogorszenie (-)0,88</w:t>
            </w:r>
          </w:p>
        </w:tc>
      </w:tr>
    </w:tbl>
    <w:p w:rsidR="00AC5FCD" w:rsidRDefault="00AC5FCD">
      <w:pPr>
        <w:spacing w:afterAutospacing="1"/>
        <w:contextualSpacing/>
        <w:jc w:val="both"/>
        <w:rPr>
          <w:color w:val="000000"/>
          <w:szCs w:val="20"/>
          <w:shd w:val="clear" w:color="auto" w:fill="FFFFFF"/>
          <w:lang w:eastAsia="en-US" w:bidi="ar-SA"/>
        </w:rPr>
      </w:pPr>
    </w:p>
    <w:p w:rsidR="00AC5FCD" w:rsidRDefault="009C7753">
      <w:pPr>
        <w:numPr>
          <w:ilvl w:val="0"/>
          <w:numId w:val="20"/>
        </w:numPr>
        <w:spacing w:after="160" w:afterAutospacing="1" w:line="259" w:lineRule="auto"/>
        <w:ind w:left="426" w:hanging="284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b/>
          <w:color w:val="000000"/>
          <w:szCs w:val="20"/>
          <w:shd w:val="clear" w:color="auto" w:fill="FFFFFF"/>
          <w:lang w:val="en-US" w:eastAsia="en-US" w:bidi="ar-SA"/>
        </w:rPr>
        <w:t xml:space="preserve">Wskaźniki płynności </w:t>
      </w:r>
      <w:r>
        <w:rPr>
          <w:color w:val="000000"/>
          <w:szCs w:val="20"/>
          <w:shd w:val="clear" w:color="auto" w:fill="FFFFFF"/>
          <w:lang w:val="en-US" w:eastAsia="en-US" w:bidi="ar-SA"/>
        </w:rPr>
        <w:t>określają zdolność podmiotu do terminowego regulowania zobowiązań, ocenia się ją na podstawie relacji aktywów obrotowych do zobowiązań i rezerw krótkoterminowych.</w:t>
      </w:r>
    </w:p>
    <w:p w:rsidR="00AC5FCD" w:rsidRDefault="009C7753">
      <w:pPr>
        <w:spacing w:after="160" w:afterAutospacing="1" w:line="259" w:lineRule="auto"/>
        <w:ind w:left="426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>MCM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„Górna” w Łodzi osiągnęło 25 na 25 punktów w skumulowanej skali </w:t>
      </w:r>
      <w:r>
        <w:rPr>
          <w:b/>
          <w:color w:val="000000"/>
          <w:szCs w:val="20"/>
          <w:shd w:val="clear" w:color="auto" w:fill="FFFFFF"/>
          <w:lang w:val="en-US" w:eastAsia="en-US" w:bidi="ar-SA"/>
        </w:rPr>
        <w:t>wskaźników płynności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. </w:t>
      </w:r>
      <w:r>
        <w:rPr>
          <w:color w:val="000000"/>
          <w:szCs w:val="20"/>
          <w:shd w:val="clear" w:color="auto" w:fill="FFFFFF"/>
          <w:lang w:val="en-US" w:eastAsia="en-US" w:bidi="ar-SA"/>
        </w:rPr>
        <w:t>Poszczególne ich wielkości wynosiły:</w:t>
      </w:r>
    </w:p>
    <w:p w:rsidR="00AC5FCD" w:rsidRDefault="009C7753">
      <w:pPr>
        <w:numPr>
          <w:ilvl w:val="0"/>
          <w:numId w:val="21"/>
        </w:numPr>
        <w:spacing w:after="160" w:afterAutospacing="1" w:line="259" w:lineRule="auto"/>
        <w:ind w:left="709" w:hanging="283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b/>
          <w:color w:val="000000"/>
          <w:szCs w:val="20"/>
          <w:shd w:val="clear" w:color="auto" w:fill="FFFFFF"/>
          <w:lang w:val="en-US" w:eastAsia="en-US" w:bidi="ar-SA"/>
        </w:rPr>
        <w:t>wskaźnik bieżącej płynności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1,83; za rok 2023 1,90;</w:t>
      </w:r>
    </w:p>
    <w:p w:rsidR="00AC5FCD" w:rsidRDefault="009C7753">
      <w:pPr>
        <w:numPr>
          <w:ilvl w:val="0"/>
          <w:numId w:val="21"/>
        </w:numPr>
        <w:spacing w:after="160" w:afterAutospacing="1" w:line="259" w:lineRule="auto"/>
        <w:ind w:left="709" w:hanging="283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b/>
          <w:color w:val="000000"/>
          <w:szCs w:val="20"/>
          <w:shd w:val="clear" w:color="auto" w:fill="FFFFFF"/>
          <w:lang w:val="en-US" w:eastAsia="en-US" w:bidi="ar-SA"/>
        </w:rPr>
        <w:t>wskaźnik szybkiej płynności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1,80; za rok 2023 1,85.</w:t>
      </w:r>
    </w:p>
    <w:p w:rsidR="00AC5FCD" w:rsidRDefault="009C7753">
      <w:pPr>
        <w:spacing w:after="160" w:afterAutospacing="1" w:line="259" w:lineRule="auto"/>
        <w:ind w:left="426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Wartości wskaźników płynności mają przybliżoną wartość, co oznacza, że jednostka </w:t>
      </w:r>
      <w:r>
        <w:rPr>
          <w:color w:val="000000"/>
          <w:szCs w:val="20"/>
          <w:shd w:val="clear" w:color="auto" w:fill="FFFFFF"/>
          <w:lang w:val="en-US" w:eastAsia="en-US" w:bidi="ar-SA"/>
        </w:rPr>
        <w:br/>
        <w:t>nie generuje dużych zapasów; wskaźnik bieżącej i szybkiej płynności mieści się w przedziale 1,83-1,80 co oznacza, że wartość aktywów obrotowych jest prawie dwukrotnie większa od wartości zobowiązań krótkoterminowych i rezerw krótkoterminowych. Wartość wskaźników wskazuje, iż jednostka posiada wystarczające aktywa obrotowe do regulowania swoich zobowiązań krótkoterminowych i rezerw krótkoterminowych. W 2024 roku w porównaniu do roku 2023 wskaźniki uległy lekkiemu obniżeniu, gdyż zobowiązania krótkoterminowe i rezerwy na zobowiązania krótkoterminowe wzrosły o 9,96%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, </w:t>
      </w:r>
      <w:r>
        <w:rPr>
          <w:color w:val="000000"/>
          <w:szCs w:val="20"/>
          <w:shd w:val="clear" w:color="auto" w:fill="FFFFFF"/>
          <w:lang w:val="en-US" w:eastAsia="en-US" w:bidi="ar-SA"/>
        </w:rPr>
        <w:t>tj. o kwotę 280.094 zł, przy niższym % wzroście aktywów obrotowych (bez krótkoterminowych rozliczeń międzyokresowych) zwiększenie o 5,62%</w:t>
      </w:r>
      <w:r>
        <w:rPr>
          <w:color w:val="000000"/>
          <w:szCs w:val="20"/>
          <w:shd w:val="clear" w:color="auto" w:fill="FFFFFF"/>
          <w:lang w:eastAsia="en-US" w:bidi="ar-SA"/>
        </w:rPr>
        <w:t>,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tj. o kwotę 328.258 zł. </w:t>
      </w:r>
    </w:p>
    <w:p w:rsidR="00AC5FCD" w:rsidRDefault="00AC5FCD">
      <w:pPr>
        <w:spacing w:after="160" w:afterAutospacing="1" w:line="259" w:lineRule="auto"/>
        <w:ind w:left="426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</w:p>
    <w:p w:rsidR="00AC5FCD" w:rsidRDefault="009C7753">
      <w:pPr>
        <w:numPr>
          <w:ilvl w:val="0"/>
          <w:numId w:val="20"/>
        </w:numPr>
        <w:spacing w:after="160" w:afterAutospacing="1" w:line="288" w:lineRule="auto"/>
        <w:ind w:left="426" w:hanging="426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b/>
          <w:color w:val="000000"/>
          <w:szCs w:val="20"/>
          <w:shd w:val="clear" w:color="auto" w:fill="FFFFFF"/>
          <w:lang w:val="en-US" w:eastAsia="en-US" w:bidi="ar-SA"/>
        </w:rPr>
        <w:lastRenderedPageBreak/>
        <w:t>Wskaźniki efektywności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-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opisują efektywność przyjętej polityki zarządzania przepływami pieniężnymi, tzn. mogą sygnalizować ryzyko utraty płynności finansowej przez jednostkę. Optymalną jest sytuacja, gdy wskaźnik rotacji zobowiązań jest wyższy lub równy wskaźnikowi rotacji należności. </w:t>
      </w:r>
    </w:p>
    <w:p w:rsidR="00AC5FCD" w:rsidRDefault="009C7753">
      <w:pPr>
        <w:spacing w:after="160" w:afterAutospacing="1" w:line="288" w:lineRule="auto"/>
        <w:ind w:left="426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>MCM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„Górna” w Łodzi osiągnęło 10 na 10 punktów w skumulowanej skali </w:t>
      </w:r>
      <w:r>
        <w:rPr>
          <w:b/>
          <w:color w:val="000000"/>
          <w:szCs w:val="20"/>
          <w:shd w:val="clear" w:color="auto" w:fill="FFFFFF"/>
          <w:lang w:val="en-US" w:eastAsia="en-US" w:bidi="ar-SA"/>
        </w:rPr>
        <w:t>wskaźników efektywności</w:t>
      </w:r>
      <w:r>
        <w:rPr>
          <w:color w:val="000000"/>
          <w:szCs w:val="20"/>
          <w:shd w:val="clear" w:color="auto" w:fill="FFFFFF"/>
          <w:lang w:val="en-US" w:eastAsia="en-US" w:bidi="ar-SA"/>
        </w:rPr>
        <w:t>. Poszczególne ich wielkości wynosiły:</w:t>
      </w:r>
    </w:p>
    <w:p w:rsidR="00AC5FCD" w:rsidRDefault="009C7753">
      <w:pPr>
        <w:numPr>
          <w:ilvl w:val="0"/>
          <w:numId w:val="22"/>
        </w:numPr>
        <w:spacing w:after="160" w:afterAutospacing="1" w:line="288" w:lineRule="auto"/>
        <w:ind w:left="709" w:hanging="283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b/>
          <w:color w:val="000000"/>
          <w:szCs w:val="20"/>
          <w:shd w:val="clear" w:color="auto" w:fill="FFFFFF"/>
          <w:lang w:val="en-US" w:eastAsia="en-US" w:bidi="ar-SA"/>
        </w:rPr>
        <w:t xml:space="preserve">wskaźnik rotacji należności </w:t>
      </w:r>
      <w:r>
        <w:rPr>
          <w:color w:val="000000"/>
          <w:szCs w:val="20"/>
          <w:shd w:val="clear" w:color="auto" w:fill="FFFFFF"/>
          <w:lang w:val="en-US" w:eastAsia="en-US" w:bidi="ar-SA"/>
        </w:rPr>
        <w:t>wyniósł 30 dni; w roku 2023 wyniósł 31 dni,</w:t>
      </w:r>
    </w:p>
    <w:p w:rsidR="00AC5FCD" w:rsidRDefault="009C7753">
      <w:pPr>
        <w:numPr>
          <w:ilvl w:val="0"/>
          <w:numId w:val="22"/>
        </w:numPr>
        <w:spacing w:after="160" w:afterAutospacing="1" w:line="288" w:lineRule="auto"/>
        <w:ind w:left="709" w:hanging="283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b/>
          <w:color w:val="000000"/>
          <w:szCs w:val="20"/>
          <w:shd w:val="clear" w:color="auto" w:fill="FFFFFF"/>
          <w:lang w:val="en-US" w:eastAsia="en-US" w:bidi="ar-SA"/>
        </w:rPr>
        <w:t>wskaźnik rotacji zobowiązań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wyniósł 7 dni; w roku 2023 wyniósł 6 dni</w:t>
      </w:r>
      <w:r>
        <w:rPr>
          <w:color w:val="000000"/>
          <w:szCs w:val="20"/>
          <w:shd w:val="clear" w:color="auto" w:fill="FFFFFF"/>
          <w:lang w:val="en-US" w:eastAsia="en-US" w:bidi="en-US"/>
        </w:rPr>
        <w:t>.</w:t>
      </w:r>
    </w:p>
    <w:p w:rsidR="00AC5FCD" w:rsidRDefault="009C7753">
      <w:pPr>
        <w:spacing w:after="160" w:afterAutospacing="1" w:line="288" w:lineRule="auto"/>
        <w:ind w:left="426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W 2024 roku </w:t>
      </w:r>
      <w:r>
        <w:rPr>
          <w:b/>
          <w:color w:val="000000"/>
          <w:szCs w:val="20"/>
          <w:shd w:val="clear" w:color="auto" w:fill="FFFFFF"/>
          <w:lang w:val="en-US" w:eastAsia="en-US" w:bidi="ar-SA"/>
        </w:rPr>
        <w:t>wskaźnik rotacji należności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wyniósł 30 dni, co oznacza że jednostka średnio oczekiwała 30 dni na uzyskanie należności za świadczone usługi. Natomiast </w:t>
      </w:r>
      <w:r>
        <w:rPr>
          <w:b/>
          <w:color w:val="000000"/>
          <w:szCs w:val="20"/>
          <w:shd w:val="clear" w:color="auto" w:fill="FFFFFF"/>
          <w:lang w:val="en-US" w:eastAsia="en-US" w:bidi="ar-SA"/>
        </w:rPr>
        <w:t>wskaźnik rotacji zobowiązań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wyniósł 7 dni, co oznacza że jednostka spłacała swoje zobowiązania z tytułu dostaw towarów i usług średnio w przeciągu 7 dni. Niski poziom rotacji zobowiązań wskazuje na krótki czas konieczny do regulowania własnych zobowiązań krótkoterminowych. Wskazane wartości należy ocenić pozytywnie.</w:t>
      </w:r>
    </w:p>
    <w:p w:rsidR="00AC5FCD" w:rsidRDefault="00AC5FCD">
      <w:pPr>
        <w:spacing w:after="160" w:afterAutospacing="1" w:line="288" w:lineRule="auto"/>
        <w:ind w:left="426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</w:p>
    <w:p w:rsidR="00AC5FCD" w:rsidRDefault="009C7753">
      <w:pPr>
        <w:numPr>
          <w:ilvl w:val="0"/>
          <w:numId w:val="20"/>
        </w:numPr>
        <w:spacing w:after="160" w:afterAutospacing="1" w:line="288" w:lineRule="auto"/>
        <w:ind w:left="284" w:hanging="284"/>
        <w:contextualSpacing/>
        <w:jc w:val="both"/>
        <w:rPr>
          <w:color w:val="000000"/>
          <w:szCs w:val="20"/>
          <w:lang w:val="en-US" w:eastAsia="en-US" w:bidi="en-US"/>
        </w:rPr>
      </w:pPr>
      <w:r>
        <w:rPr>
          <w:b/>
          <w:szCs w:val="20"/>
          <w:lang w:val="en-US" w:eastAsia="en-US" w:bidi="en-US"/>
        </w:rPr>
        <w:t>Wskaźniki zadłużenia</w:t>
      </w:r>
      <w:r>
        <w:rPr>
          <w:szCs w:val="20"/>
          <w:lang w:val="en-US" w:eastAsia="en-US" w:bidi="en-US"/>
        </w:rPr>
        <w:t xml:space="preserve"> określają </w:t>
      </w:r>
      <w:r>
        <w:rPr>
          <w:color w:val="000000"/>
          <w:szCs w:val="20"/>
          <w:lang w:val="en-US" w:eastAsia="en-US" w:bidi="en-US"/>
        </w:rPr>
        <w:t xml:space="preserve">stabilność finansową podmiotu zależną w dużym stopniu </w:t>
      </w:r>
      <w:r>
        <w:rPr>
          <w:color w:val="000000"/>
          <w:szCs w:val="20"/>
          <w:lang w:val="en-US" w:eastAsia="en-US" w:bidi="en-US"/>
        </w:rPr>
        <w:br/>
        <w:t xml:space="preserve">od poziomu jego zadłużenia, tj. optymalnej struktury pasywów. Przyjęte do oceny sp zoz wskaźniki określają relację zadłużenia podmiotu odpowiednio do aktywów oraz kapitału własnego jednostki. </w:t>
      </w:r>
      <w:r>
        <w:rPr>
          <w:b/>
          <w:color w:val="000000"/>
          <w:szCs w:val="20"/>
          <w:lang w:val="en-US" w:eastAsia="en-US" w:bidi="en-US"/>
        </w:rPr>
        <w:t>Wskaźnik zadłużenia aktywów</w:t>
      </w:r>
      <w:r>
        <w:rPr>
          <w:color w:val="000000"/>
          <w:szCs w:val="20"/>
          <w:lang w:val="en-US" w:eastAsia="en-US" w:bidi="en-US"/>
        </w:rPr>
        <w:t xml:space="preserve"> informuje o stopniu finansowania aktywów kapitałem obcym; </w:t>
      </w:r>
      <w:r>
        <w:rPr>
          <w:b/>
          <w:color w:val="000000"/>
          <w:szCs w:val="20"/>
          <w:lang w:val="en-US" w:eastAsia="en-US" w:bidi="en-US"/>
        </w:rPr>
        <w:t>wskaźnik wypłacalności</w:t>
      </w:r>
      <w:r>
        <w:rPr>
          <w:color w:val="000000"/>
          <w:szCs w:val="20"/>
          <w:lang w:val="en-US" w:eastAsia="en-US" w:bidi="en-US"/>
        </w:rPr>
        <w:t xml:space="preserve"> określa wielkość kapitałów obcych przypadającą na jednostkę funduszu własnego.</w:t>
      </w:r>
    </w:p>
    <w:p w:rsidR="00AC5FCD" w:rsidRDefault="009C7753">
      <w:pPr>
        <w:spacing w:before="240" w:line="276" w:lineRule="auto"/>
        <w:ind w:left="284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</w:rPr>
        <w:t>MCM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„Górna” w Łodzi osiągnęło 20 na 20 punktów w skumulowanej skali </w:t>
      </w:r>
      <w:r>
        <w:rPr>
          <w:b/>
          <w:color w:val="000000"/>
          <w:szCs w:val="20"/>
          <w:shd w:val="clear" w:color="auto" w:fill="FFFFFF"/>
          <w:lang w:eastAsia="en-US" w:bidi="ar-SA"/>
        </w:rPr>
        <w:t>wskaźników zadłużenia</w:t>
      </w:r>
      <w:r>
        <w:rPr>
          <w:color w:val="000000"/>
          <w:szCs w:val="20"/>
          <w:shd w:val="clear" w:color="auto" w:fill="FFFFFF"/>
          <w:lang w:eastAsia="en-US" w:bidi="ar-SA"/>
        </w:rPr>
        <w:t>. Poszczególne ich wielkości wynosiły:</w:t>
      </w:r>
    </w:p>
    <w:p w:rsidR="00AC5FCD" w:rsidRDefault="009C7753">
      <w:pPr>
        <w:numPr>
          <w:ilvl w:val="0"/>
          <w:numId w:val="23"/>
        </w:numPr>
        <w:spacing w:after="160" w:line="276" w:lineRule="auto"/>
        <w:ind w:left="567" w:hanging="283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b/>
          <w:color w:val="000000"/>
          <w:szCs w:val="20"/>
          <w:shd w:val="clear" w:color="auto" w:fill="FFFFFF"/>
          <w:lang w:val="en-US" w:eastAsia="en-US" w:bidi="ar-SA"/>
        </w:rPr>
        <w:t xml:space="preserve">zadłużenia aktywów (%) </w:t>
      </w:r>
      <w:r>
        <w:rPr>
          <w:color w:val="000000"/>
          <w:szCs w:val="20"/>
          <w:shd w:val="clear" w:color="auto" w:fill="FFFFFF"/>
          <w:lang w:val="en-US" w:eastAsia="en-US" w:bidi="ar-SA"/>
        </w:rPr>
        <w:t>(stosunek zobowiązań do aktywów)</w:t>
      </w:r>
      <w:r>
        <w:rPr>
          <w:b/>
          <w:color w:val="000000"/>
          <w:szCs w:val="20"/>
          <w:shd w:val="clear" w:color="auto" w:fill="FFFFFF"/>
          <w:lang w:val="en-US"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en-US" w:eastAsia="en-US" w:bidi="ar-SA"/>
        </w:rPr>
        <w:t>wynosi 24%, co oznacza, że 24% w całości źródeł finansowania aktywów stanowiło zadłużenie, czyli kapitały obce. W roku 2023 wskaźnik zadłużenia aktywów wynosił 23%; przyczyna pogorszenia wskaźnika: większy % wzrost zobowiązań długo i krótkoterminowych oraz rezerw na zobowiązania od % wzrostu aktywów;</w:t>
      </w:r>
    </w:p>
    <w:p w:rsidR="00AC5FCD" w:rsidRDefault="009C7753">
      <w:pPr>
        <w:numPr>
          <w:ilvl w:val="0"/>
          <w:numId w:val="23"/>
        </w:numPr>
        <w:spacing w:after="160" w:line="276" w:lineRule="auto"/>
        <w:ind w:left="567" w:hanging="283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b/>
          <w:color w:val="000000"/>
          <w:szCs w:val="20"/>
          <w:shd w:val="clear" w:color="auto" w:fill="FFFFFF"/>
          <w:lang w:val="en-US" w:eastAsia="en-US" w:bidi="ar-SA"/>
        </w:rPr>
        <w:t>wypłacalności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(stosunek zobowiązań i rezerw do kapitału własnego) wynosi 0,46, co oznacza, że zadłużenie czyli kapitały obce (ogółem zobowiązania i rezerwy) przypadające na jednostkę (1) kapitału (funduszu) własnego stanowią 0,46 tzn. na jedną złotówkę funduszu własnego przypada 0 zł 46 groszy kapitałów obcych (zadłużenia). W roku 2023 wskaźnik wypłacalności wynosił 0,45. Wskazane wartości należy ocenić pozytywnie.</w:t>
      </w:r>
    </w:p>
    <w:bookmarkEnd w:id="3"/>
    <w:bookmarkEnd w:id="4"/>
    <w:bookmarkEnd w:id="13"/>
    <w:p w:rsidR="00AC5FCD" w:rsidRDefault="009C7753">
      <w:pPr>
        <w:spacing w:before="240" w:after="200" w:line="276" w:lineRule="auto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Na podstawie wyliczonych wskaźników za 2024 rok MCM „Górna” w Łodzi uzyskało łącznie 64 pkt (91,43%), w 2023 roku wynik ten wyniósł 65 pkt (92,86%).</w:t>
      </w:r>
    </w:p>
    <w:p w:rsidR="00AC5FCD" w:rsidRDefault="009C7753">
      <w:pPr>
        <w:numPr>
          <w:ilvl w:val="0"/>
          <w:numId w:val="12"/>
        </w:numPr>
        <w:spacing w:before="240" w:after="160" w:line="276" w:lineRule="auto"/>
        <w:ind w:left="142" w:hanging="142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b/>
          <w:color w:val="000000"/>
          <w:szCs w:val="20"/>
          <w:shd w:val="clear" w:color="auto" w:fill="FFFFFF"/>
          <w:lang w:val="en-US" w:eastAsia="en-US" w:bidi="ar-SA"/>
        </w:rPr>
        <w:t>Prognoza na lata 2025-2027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powstała w oparciu o plan finansowy na 2025 rok. </w:t>
      </w:r>
      <w:r>
        <w:rPr>
          <w:color w:val="000000"/>
          <w:szCs w:val="20"/>
          <w:shd w:val="clear" w:color="auto" w:fill="FFFFFF"/>
          <w:lang w:val="en-US" w:eastAsia="en-US" w:bidi="ar-SA"/>
        </w:rPr>
        <w:br/>
        <w:t>Do prognozy przychodów na lata 2025-2027 przyjęto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zakres realizowanych świadczeń </w:t>
      </w:r>
      <w:r>
        <w:rPr>
          <w:color w:val="000000"/>
          <w:szCs w:val="20"/>
          <w:shd w:val="clear" w:color="auto" w:fill="FFFFFF"/>
          <w:lang w:val="en-US" w:eastAsia="en-US" w:bidi="ar-SA"/>
        </w:rPr>
        <w:br/>
        <w:t xml:space="preserve">ze środków publicznych będzie obejmował wszystkie dotychczasowe zakresy działalności. Przy konstruowaniu prognozy przychodów i kosztów założono wzrost przychodów, który pozwoli na zrównoważenie wzrostu kosztów i dostosowanie placówki do wymogów prawnych m.in. w aspektach osobowych, infrastrukturalnych i informatycznych. </w:t>
      </w:r>
    </w:p>
    <w:p w:rsidR="00AC5FCD" w:rsidRDefault="009C7753">
      <w:pPr>
        <w:spacing w:before="240" w:line="276" w:lineRule="auto"/>
        <w:ind w:left="142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</w:rPr>
        <w:lastRenderedPageBreak/>
        <w:t>MCM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„Górna” w Łodzi  prowadzi gospodarkę finansową na zasadach określonych w ustawie z dnia 15 kwietnia 2011 r. o działalności leczniczej. Prognoza na lata 2025-2027 została opracowana zgodnie z art. 52 ustawy z dnia 15 kwietnia 2011 r. o działalności leczniczej. </w:t>
      </w:r>
      <w:r>
        <w:rPr>
          <w:color w:val="000000"/>
          <w:szCs w:val="20"/>
          <w:shd w:val="clear" w:color="auto" w:fill="FFFFFF"/>
        </w:rPr>
        <w:t>MCM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„Górna” w Łodzi pokrywa z posiadanych środków i uzyskiwanych przychodów koszty działalności i reguluje zobowiązania. W prognozach sytuacji ekonomiczno-finansowej na kolejne trzy lata obrotowe założono utrzymanie stabilności ekonomiczno-finansowej i osiągnięcie dodatniego wyniku finansowego. Jednak należy mieć na względzie, że obecna sytuacja geopolityczna i finansowa jest bardzo trudna i na pewno nie pozostanie bez wpływu na sytuację finansową MCM „Górna” w Łodzi. </w:t>
      </w:r>
    </w:p>
    <w:p w:rsidR="00AC5FCD" w:rsidRDefault="009C7753">
      <w:pPr>
        <w:spacing w:before="240" w:after="200" w:line="276" w:lineRule="auto"/>
        <w:jc w:val="both"/>
        <w:rPr>
          <w:b/>
          <w:color w:val="00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Pozostałe założenia przyjęte przez MCM „Górna” w Łodzi na lata 2025-2027</w:t>
      </w:r>
    </w:p>
    <w:p w:rsidR="00AC5FCD" w:rsidRDefault="009C7753">
      <w:pPr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</w:rPr>
        <w:t>MCM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„Górna” w Łodzi zgodnie z przyjętą długofalową strategią rozwoju opracowaną na lata 2025-2027 skupia się na kilku istotnych kierunkach:</w:t>
      </w:r>
    </w:p>
    <w:p w:rsidR="00AC5FCD" w:rsidRDefault="00AC5FCD">
      <w:pPr>
        <w:ind w:firstLine="567"/>
        <w:jc w:val="both"/>
        <w:rPr>
          <w:color w:val="000000"/>
          <w:szCs w:val="20"/>
          <w:shd w:val="clear" w:color="auto" w:fill="FFFFFF"/>
          <w:lang w:eastAsia="en-US" w:bidi="ar-SA"/>
        </w:rPr>
      </w:pPr>
    </w:p>
    <w:p w:rsidR="00AC5FCD" w:rsidRDefault="009C7753">
      <w:pPr>
        <w:numPr>
          <w:ilvl w:val="0"/>
          <w:numId w:val="24"/>
        </w:numPr>
        <w:spacing w:line="276" w:lineRule="auto"/>
        <w:ind w:left="426" w:hanging="426"/>
        <w:jc w:val="both"/>
        <w:rPr>
          <w:b/>
          <w:color w:val="00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podniesienie jakości udzielanych świadczeń medycznych: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</w:t>
      </w:r>
    </w:p>
    <w:p w:rsidR="00AC5FCD" w:rsidRDefault="009C7753">
      <w:pPr>
        <w:numPr>
          <w:ilvl w:val="0"/>
          <w:numId w:val="25"/>
        </w:numPr>
        <w:spacing w:after="160" w:line="276" w:lineRule="auto"/>
        <w:ind w:left="709" w:hanging="283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wzrost kompetencji i pozyskanie wysoko wykwalifikowanej kadry medycznej, intensywne szkolenia dla personelu medycznego; utrzymanie, rozwijanie i doskonalenie strategii zarządzania opartej o Zintegrowany System Zarządzania Jakością,  </w:t>
      </w:r>
    </w:p>
    <w:p w:rsidR="00AC5FCD" w:rsidRDefault="009C7753">
      <w:pPr>
        <w:numPr>
          <w:ilvl w:val="0"/>
          <w:numId w:val="25"/>
        </w:numPr>
        <w:spacing w:after="160" w:line="276" w:lineRule="auto"/>
        <w:ind w:left="709" w:hanging="283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opracowanie, wprowadzenie i doskonalenie wewnętrznego systemu zarządzania jakością i bezpieczeństwem pacjenta na podstawie ustawy 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z dnia 16 czerwca 2023 r. </w:t>
      </w:r>
      <w:r>
        <w:rPr>
          <w:color w:val="000000"/>
          <w:szCs w:val="20"/>
          <w:shd w:val="clear" w:color="auto" w:fill="FFFFFF"/>
          <w:lang w:val="en-US" w:eastAsia="en-US" w:bidi="ar-SA"/>
        </w:rPr>
        <w:t>o jakości w</w:t>
      </w:r>
      <w:r>
        <w:rPr>
          <w:color w:val="000000"/>
          <w:szCs w:val="20"/>
          <w:shd w:val="clear" w:color="auto" w:fill="FFFFFF"/>
          <w:lang w:eastAsia="en-US" w:bidi="ar-SA"/>
        </w:rPr>
        <w:t> </w:t>
      </w:r>
      <w:r>
        <w:rPr>
          <w:color w:val="000000"/>
          <w:szCs w:val="20"/>
          <w:shd w:val="clear" w:color="auto" w:fill="FFFFFF"/>
          <w:lang w:val="en-US" w:eastAsia="en-US" w:bidi="ar-SA"/>
        </w:rPr>
        <w:t>opiece zdrowotnej i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en-US" w:eastAsia="en-US" w:bidi="ar-SA"/>
        </w:rPr>
        <w:t>bezpieczeństwie pacjenta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(Dz. U. poz. 1692),</w:t>
      </w:r>
    </w:p>
    <w:p w:rsidR="00AC5FCD" w:rsidRDefault="009C7753">
      <w:pPr>
        <w:numPr>
          <w:ilvl w:val="0"/>
          <w:numId w:val="25"/>
        </w:numPr>
        <w:spacing w:after="160" w:line="276" w:lineRule="auto"/>
        <w:ind w:left="709" w:hanging="283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color w:val="000000"/>
          <w:szCs w:val="20"/>
          <w:shd w:val="clear" w:color="auto" w:fill="FFFFFF"/>
          <w:lang w:val="en-US" w:eastAsia="en-US" w:bidi="ar-SA"/>
        </w:rPr>
        <w:t>uzyskanie akredytacji w zakresie prowadzenia specjalizacji z medycyny rodzinnej i otrzymanie 8 miejsc specjalizacyjnych</w:t>
      </w:r>
      <w:r>
        <w:rPr>
          <w:color w:val="000000"/>
          <w:szCs w:val="20"/>
          <w:shd w:val="clear" w:color="auto" w:fill="FFFFFF"/>
        </w:rPr>
        <w:t>;</w:t>
      </w:r>
    </w:p>
    <w:p w:rsidR="00AC5FCD" w:rsidRDefault="009C7753">
      <w:pPr>
        <w:numPr>
          <w:ilvl w:val="0"/>
          <w:numId w:val="24"/>
        </w:numPr>
        <w:spacing w:line="276" w:lineRule="auto"/>
        <w:ind w:left="426" w:hanging="426"/>
        <w:jc w:val="both"/>
        <w:rPr>
          <w:b/>
          <w:color w:val="00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 xml:space="preserve">inwestycje w infrastrukturę budowlaną: </w:t>
      </w:r>
    </w:p>
    <w:p w:rsidR="00AC5FCD" w:rsidRDefault="009C7753">
      <w:pPr>
        <w:numPr>
          <w:ilvl w:val="0"/>
          <w:numId w:val="26"/>
        </w:numPr>
        <w:spacing w:after="160" w:line="276" w:lineRule="auto"/>
        <w:ind w:left="709" w:hanging="283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przebudowa klatek schodowych, ciągów komunikacyjnych i rejestracji w przychodni </w:t>
      </w:r>
      <w:r>
        <w:rPr>
          <w:color w:val="000000"/>
          <w:szCs w:val="20"/>
          <w:shd w:val="clear" w:color="auto" w:fill="FFFFFF"/>
          <w:lang w:val="en-US" w:eastAsia="en-US" w:bidi="ar-SA"/>
        </w:rPr>
        <w:br/>
        <w:t>przy ul. Tatrzańskiej 109 – projekt budowalny I etap (rok 2025 – 60 tys. zł własne)</w:t>
      </w:r>
      <w:r>
        <w:rPr>
          <w:color w:val="000000"/>
          <w:szCs w:val="20"/>
          <w:shd w:val="clear" w:color="auto" w:fill="FFFFFF"/>
        </w:rPr>
        <w:t>,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</w:t>
      </w:r>
    </w:p>
    <w:p w:rsidR="00AC5FCD" w:rsidRDefault="009C7753">
      <w:pPr>
        <w:numPr>
          <w:ilvl w:val="0"/>
          <w:numId w:val="26"/>
        </w:numPr>
        <w:spacing w:after="160" w:line="276" w:lineRule="auto"/>
        <w:ind w:left="709" w:hanging="283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kompleksowa przebudowa i modernizacja rejestracji wraz z ciągami komunikacyjnymi, klatką schodową i korytarzami oraz gabinetami. Nadanie parterowi (rejestracji) nowego układu funkcjonalnego w przychodni przy ul. Tatrzańskiej 109 </w:t>
      </w:r>
      <w:r>
        <w:rPr>
          <w:color w:val="000000"/>
          <w:szCs w:val="20"/>
          <w:shd w:val="clear" w:color="auto" w:fill="FFFFFF"/>
        </w:rPr>
        <w:br/>
      </w:r>
      <w:r>
        <w:rPr>
          <w:color w:val="000000"/>
          <w:szCs w:val="20"/>
          <w:shd w:val="clear" w:color="auto" w:fill="FFFFFF"/>
          <w:lang w:val="en-US" w:eastAsia="en-US" w:bidi="ar-SA"/>
        </w:rPr>
        <w:t>(II etap - rok 2026 – 670 tys. zł- środki własne, III etap - rok 2027- 550 tys. zł – środki własne)</w:t>
      </w:r>
      <w:r>
        <w:rPr>
          <w:color w:val="000000"/>
          <w:szCs w:val="20"/>
          <w:shd w:val="clear" w:color="auto" w:fill="FFFFFF"/>
        </w:rPr>
        <w:t>,</w:t>
      </w:r>
    </w:p>
    <w:p w:rsidR="00AC5FCD" w:rsidRDefault="009C7753">
      <w:pPr>
        <w:numPr>
          <w:ilvl w:val="0"/>
          <w:numId w:val="26"/>
        </w:numPr>
        <w:spacing w:line="276" w:lineRule="auto"/>
        <w:ind w:left="709" w:hanging="283"/>
        <w:contextualSpacing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podniesienie jakości udzielnych świadczeń medycznych poprzez remont pomieszczeń i zakup nowego sprzętu i wyposażenia do poradni położniczo-ginekologicznej w przychodni przy ul. Rzgowskiej 170 (projekt budowlany I etap - rok 2026 - 80 tys. zł środki własne, prace budowlane 2027 - 300 tys. zł środki Miasta Łodzi, 2027 -100 tys. zł środki własne);</w:t>
      </w:r>
    </w:p>
    <w:p w:rsidR="00AC5FCD" w:rsidRDefault="009C7753">
      <w:pPr>
        <w:numPr>
          <w:ilvl w:val="0"/>
          <w:numId w:val="24"/>
        </w:numPr>
        <w:spacing w:line="276" w:lineRule="auto"/>
        <w:ind w:left="426" w:hanging="426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inwestycje w zakup sprzętu, aparatury i wyposażenia medycznego i niemedycznego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: </w:t>
      </w:r>
    </w:p>
    <w:p w:rsidR="00AC5FCD" w:rsidRDefault="009C7753">
      <w:pPr>
        <w:numPr>
          <w:ilvl w:val="0"/>
          <w:numId w:val="27"/>
        </w:numPr>
        <w:spacing w:after="160" w:line="259" w:lineRule="auto"/>
        <w:contextualSpacing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podniesienie jakości udzielnych świadczeń medycznych poprzez zakup nowego w pełni cyfrowego aparatu RTG. Rozszerzenie działalności medycznej poprzez zakup densytometru, zakup aparatu USG do przychodni przy ul. Tatrzańskiej 109 (rok 2025 1.270 tys. zł - środki zewnętrzne i rok 2025 -100 tys. zł modernizacja środki własne),</w:t>
      </w:r>
    </w:p>
    <w:p w:rsidR="00AC5FCD" w:rsidRDefault="009C7753">
      <w:pPr>
        <w:numPr>
          <w:ilvl w:val="0"/>
          <w:numId w:val="27"/>
        </w:numPr>
        <w:spacing w:after="160" w:line="259" w:lineRule="auto"/>
        <w:contextualSpacing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 xml:space="preserve">systematyczna wymiana zużytego i wyeksploatowanego sprzętu medycznego </w:t>
      </w:r>
      <w:r>
        <w:rPr>
          <w:color w:val="000000"/>
          <w:szCs w:val="20"/>
          <w:shd w:val="clear" w:color="auto" w:fill="FFFFFF"/>
          <w:lang w:eastAsia="en-US" w:bidi="ar-SA"/>
        </w:rPr>
        <w:br/>
        <w:t xml:space="preserve">oraz doposażenie placówek w nowy sprzęt (2025 r. - 300 tys. zł środki własne, 2025 r. </w:t>
      </w:r>
      <w:r>
        <w:rPr>
          <w:color w:val="000000"/>
          <w:szCs w:val="20"/>
          <w:shd w:val="clear" w:color="auto" w:fill="FFFFFF"/>
          <w:lang w:eastAsia="en-US" w:bidi="ar-SA"/>
        </w:rPr>
        <w:lastRenderedPageBreak/>
        <w:t>335 tys. środki zewnętrzne, 2026 r. 100 tyś. zł środki własne, 2027 r. -100 tys. zł środki własne)</w:t>
      </w:r>
      <w:r>
        <w:rPr>
          <w:color w:val="000000"/>
          <w:szCs w:val="20"/>
          <w:shd w:val="clear" w:color="auto" w:fill="FFFFFF"/>
        </w:rPr>
        <w:t>,</w:t>
      </w:r>
    </w:p>
    <w:p w:rsidR="00AC5FCD" w:rsidRDefault="009C7753">
      <w:pPr>
        <w:numPr>
          <w:ilvl w:val="0"/>
          <w:numId w:val="27"/>
        </w:numPr>
        <w:spacing w:after="160" w:line="259" w:lineRule="auto"/>
        <w:contextualSpacing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instalacja fotowoltaiczna wraz z pracami towarzyszącymi w budynkach MCM „Górna” w Łodzi przy ul. Tatrzańskiej 109 i ul. Rzgowskiej 170 –1.350 tys. zł (środki WFOŚiGW w Łodzi plus środki własne),</w:t>
      </w:r>
    </w:p>
    <w:p w:rsidR="00AC5FCD" w:rsidRDefault="009C7753">
      <w:pPr>
        <w:numPr>
          <w:ilvl w:val="0"/>
          <w:numId w:val="27"/>
        </w:numPr>
        <w:spacing w:line="259" w:lineRule="auto"/>
        <w:contextualSpacing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modernizacja instalacji elektrycznej w budynkach przychodni przy ul. Paderewskiego 6 i Rzgowskiej 170 38 tys. zł środki własne;</w:t>
      </w:r>
    </w:p>
    <w:p w:rsidR="00AC5FCD" w:rsidRDefault="009C7753">
      <w:pPr>
        <w:numPr>
          <w:ilvl w:val="0"/>
          <w:numId w:val="24"/>
        </w:numPr>
        <w:spacing w:line="276" w:lineRule="auto"/>
        <w:ind w:left="426" w:hanging="426"/>
        <w:contextualSpacing/>
        <w:jc w:val="both"/>
        <w:rPr>
          <w:szCs w:val="20"/>
          <w:lang w:eastAsia="en-US" w:bidi="en-US"/>
        </w:rPr>
      </w:pPr>
      <w:r>
        <w:rPr>
          <w:b/>
          <w:szCs w:val="20"/>
          <w:lang w:eastAsia="en-US" w:bidi="en-US"/>
        </w:rPr>
        <w:t>rozszerzenie zakresu i miejsc udzielanych świadczeń medycznych</w:t>
      </w:r>
      <w:r>
        <w:rPr>
          <w:szCs w:val="20"/>
          <w:lang w:eastAsia="en-US" w:bidi="en-US"/>
        </w:rPr>
        <w:t xml:space="preserve"> poprzez </w:t>
      </w:r>
      <w:r>
        <w:rPr>
          <w:color w:val="000000"/>
          <w:szCs w:val="20"/>
          <w:shd w:val="clear" w:color="auto" w:fill="FFFFFF"/>
          <w:lang w:eastAsia="en-US" w:bidi="ar-SA"/>
        </w:rPr>
        <w:t>utworzony Dzienny Dom Opieki Medycznej przy ul. Odrzańskiej 29 (działania inwestycyjne: 2025 r</w:t>
      </w:r>
      <w:r>
        <w:rPr>
          <w:color w:val="000000"/>
          <w:szCs w:val="20"/>
          <w:shd w:val="clear" w:color="auto" w:fill="FFFFFF"/>
        </w:rPr>
        <w:t>ok</w:t>
      </w:r>
      <w:r>
        <w:rPr>
          <w:color w:val="000000"/>
          <w:szCs w:val="20"/>
          <w:shd w:val="clear" w:color="auto" w:fill="FFFFFF"/>
          <w:lang w:eastAsia="en-US" w:bidi="ar-SA"/>
        </w:rPr>
        <w:t>: kwota 55 tys. zł dokumentacja projektowa środki własne, 2025 rok 646 tys. środki własne 2025 r.: kwota 1.395 tys. zł środki zewnętrzne UE);</w:t>
      </w:r>
    </w:p>
    <w:p w:rsidR="00AC5FCD" w:rsidRDefault="009C7753">
      <w:pPr>
        <w:numPr>
          <w:ilvl w:val="0"/>
          <w:numId w:val="24"/>
        </w:numPr>
        <w:spacing w:line="276" w:lineRule="auto"/>
        <w:ind w:left="426" w:hanging="426"/>
        <w:jc w:val="both"/>
        <w:rPr>
          <w:b/>
          <w:color w:val="00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 xml:space="preserve">informatyzacja: </w:t>
      </w:r>
      <w:r>
        <w:rPr>
          <w:color w:val="000000"/>
          <w:szCs w:val="20"/>
          <w:shd w:val="clear" w:color="auto" w:fill="FFFFFF"/>
          <w:lang w:eastAsia="en-US" w:bidi="ar-SA"/>
        </w:rPr>
        <w:t>sukcesywne i systematyczne doposażanie/wymiana sprzętu informatycznego (2025 rok 50 tys. zł środki własne, 2025r. 265 tys. zł środki zewnętrzne, 2026 rok 50 tys. zł środki własne, 2027 rok 50 tys. zł środki własne );</w:t>
      </w:r>
    </w:p>
    <w:p w:rsidR="00AC5FCD" w:rsidRDefault="009C7753">
      <w:pPr>
        <w:numPr>
          <w:ilvl w:val="0"/>
          <w:numId w:val="24"/>
        </w:numPr>
        <w:spacing w:after="160" w:line="276" w:lineRule="auto"/>
        <w:ind w:left="426" w:hanging="426"/>
        <w:contextualSpacing/>
        <w:jc w:val="both"/>
        <w:rPr>
          <w:szCs w:val="20"/>
          <w:lang w:eastAsia="en-US" w:bidi="en-US"/>
        </w:rPr>
      </w:pPr>
      <w:r>
        <w:rPr>
          <w:b/>
          <w:szCs w:val="20"/>
          <w:lang w:eastAsia="en-US" w:bidi="en-US"/>
        </w:rPr>
        <w:t>realizacja idei aktywatorów:</w:t>
      </w:r>
      <w:r>
        <w:rPr>
          <w:szCs w:val="20"/>
          <w:lang w:eastAsia="en-US" w:bidi="en-US"/>
        </w:rPr>
        <w:t xml:space="preserve"> jako forma i miejsce spędzenia czasu dla Seniorów. Realizacja placów aktywnego wypoczynku na terenach zielonych należących do przychodni przy ul. Rzgowskiej 170 (rok 2019 370 tys.) i ul. Odrzańskiej 29 (rok 2026 400 tys. zł środki zewnętrzne uzyskanie dotacji z Miasta Łodzi).</w:t>
      </w:r>
    </w:p>
    <w:p w:rsidR="00AC5FCD" w:rsidRDefault="00AC5FCD">
      <w:pPr>
        <w:spacing w:after="160" w:line="276" w:lineRule="auto"/>
        <w:ind w:left="426"/>
        <w:contextualSpacing/>
        <w:jc w:val="both"/>
        <w:rPr>
          <w:szCs w:val="20"/>
          <w:lang w:eastAsia="en-US" w:bidi="en-US"/>
        </w:rPr>
      </w:pPr>
    </w:p>
    <w:p w:rsidR="00AC5FCD" w:rsidRDefault="009C7753">
      <w:pPr>
        <w:spacing w:after="160" w:line="276" w:lineRule="auto"/>
        <w:ind w:left="426"/>
        <w:contextualSpacing/>
        <w:jc w:val="both"/>
        <w:rPr>
          <w:szCs w:val="20"/>
          <w:lang w:eastAsia="en-US" w:bidi="en-US"/>
        </w:rPr>
      </w:pPr>
      <w:r>
        <w:rPr>
          <w:szCs w:val="20"/>
        </w:rPr>
        <w:t>MCM</w:t>
      </w:r>
      <w:r>
        <w:rPr>
          <w:szCs w:val="20"/>
          <w:lang w:eastAsia="en-US" w:bidi="en-US"/>
        </w:rPr>
        <w:t xml:space="preserve"> „Górna” w Łodzi wypracowało wspólne standardy dla wszystkich swoich placówek. Prace remontowe i inwestycyjne skupiają się na podniesieniu standardu jakości wykonywanych usług medycznych. MCM „Górna” w Łodzi skupia się na podnoszeniu jakości wykonywanych usług medycznych poprzez prace remontowe i inwestycyjne, systematyczną wymianę bazy sprzętowej. Jednostka chce skoncentrować się na zaproponowaniu pacjentom różnych form aktywnego i prozdrowotnego spędzenia czasu poprzez wykorzystanie potencjału osób starszych w ramach Centrów Zdrowego i Aktywnego Seniora połączonych z aktywatorami.</w:t>
      </w:r>
    </w:p>
    <w:p w:rsidR="00AC5FCD" w:rsidRDefault="00AC5FCD">
      <w:pPr>
        <w:keepNext/>
        <w:spacing w:after="60"/>
        <w:jc w:val="left"/>
        <w:outlineLvl w:val="0"/>
        <w:rPr>
          <w:b/>
          <w:szCs w:val="20"/>
          <w:lang w:eastAsia="en-US" w:bidi="ar-SA"/>
        </w:rPr>
      </w:pPr>
    </w:p>
    <w:p w:rsidR="00AC5FCD" w:rsidRDefault="00AC5FCD">
      <w:pPr>
        <w:keepNext/>
        <w:spacing w:after="60"/>
        <w:jc w:val="left"/>
        <w:outlineLvl w:val="0"/>
        <w:rPr>
          <w:b/>
          <w:szCs w:val="20"/>
          <w:lang w:eastAsia="en-US" w:bidi="ar-SA"/>
        </w:rPr>
      </w:pPr>
    </w:p>
    <w:p w:rsidR="00AC5FCD" w:rsidRDefault="009C7753">
      <w:pPr>
        <w:keepNext/>
        <w:spacing w:after="60"/>
        <w:jc w:val="left"/>
        <w:outlineLvl w:val="0"/>
        <w:rPr>
          <w:b/>
          <w:szCs w:val="20"/>
          <w:lang w:eastAsia="en-US" w:bidi="ar-SA"/>
        </w:rPr>
      </w:pPr>
      <w:r>
        <w:rPr>
          <w:b/>
          <w:szCs w:val="20"/>
          <w:lang w:eastAsia="en-US" w:bidi="ar-SA"/>
        </w:rPr>
        <w:br w:type="page"/>
      </w:r>
      <w:r>
        <w:rPr>
          <w:b/>
          <w:szCs w:val="20"/>
          <w:lang w:eastAsia="en-US" w:bidi="ar-SA"/>
        </w:rPr>
        <w:lastRenderedPageBreak/>
        <w:t>Wskaźniki MCM „Górna” w Łodzi  prognoza na lata 2025-2027</w:t>
      </w:r>
    </w:p>
    <w:p w:rsidR="00AC5FCD" w:rsidRDefault="00AC5FCD">
      <w:pPr>
        <w:keepNext/>
        <w:spacing w:after="60"/>
        <w:jc w:val="left"/>
        <w:outlineLvl w:val="0"/>
        <w:rPr>
          <w:b/>
          <w:szCs w:val="20"/>
          <w:lang w:eastAsia="en-US" w:bidi="ar-SA"/>
        </w:rPr>
      </w:pPr>
    </w:p>
    <w:tbl>
      <w:tblPr>
        <w:tblW w:w="985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2"/>
        <w:gridCol w:w="1550"/>
        <w:gridCol w:w="1101"/>
        <w:gridCol w:w="992"/>
        <w:gridCol w:w="1134"/>
        <w:gridCol w:w="1025"/>
        <w:gridCol w:w="1102"/>
        <w:gridCol w:w="992"/>
      </w:tblGrid>
      <w:tr w:rsidR="00AC5FCD">
        <w:trPr>
          <w:trHeight w:val="182"/>
          <w:jc w:val="center"/>
        </w:trPr>
        <w:tc>
          <w:tcPr>
            <w:tcW w:w="1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vAlign w:val="center"/>
          </w:tcPr>
          <w:p w:rsidR="00AC5FCD" w:rsidRDefault="009C7753">
            <w:pP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Grupa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AC5FCD" w:rsidRDefault="009C7753">
            <w:pP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Wskaźniki</w:t>
            </w:r>
          </w:p>
        </w:tc>
        <w:tc>
          <w:tcPr>
            <w:tcW w:w="2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AC5FCD" w:rsidRDefault="009C7753">
            <w:pP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2025</w:t>
            </w:r>
          </w:p>
        </w:tc>
        <w:tc>
          <w:tcPr>
            <w:tcW w:w="215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vAlign w:val="center"/>
          </w:tcPr>
          <w:p w:rsidR="00AC5FCD" w:rsidRDefault="009C7753">
            <w:pP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2026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AC5FCD" w:rsidRDefault="009C7753">
            <w:pP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2027</w:t>
            </w:r>
          </w:p>
        </w:tc>
      </w:tr>
      <w:tr w:rsidR="00AC5FCD">
        <w:trPr>
          <w:trHeight w:val="186"/>
          <w:jc w:val="center"/>
        </w:trPr>
        <w:tc>
          <w:tcPr>
            <w:tcW w:w="1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FCD" w:rsidRDefault="00AC5FCD">
            <w:pPr>
              <w:jc w:val="left"/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C5FCD" w:rsidRDefault="00AC5FCD">
            <w:pPr>
              <w:jc w:val="left"/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C5FCD" w:rsidRDefault="009C7753">
            <w:pP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Wskaźnik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AC5FCD" w:rsidRDefault="009C7753">
            <w:pP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Ilość punktów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C5FCD" w:rsidRDefault="009C7753">
            <w:pP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Wskaźnik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AC5FCD" w:rsidRDefault="009C7753">
            <w:pP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Ilość punktów</w:t>
            </w:r>
          </w:p>
        </w:tc>
        <w:tc>
          <w:tcPr>
            <w:tcW w:w="11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C5FCD" w:rsidRDefault="009C7753">
            <w:pP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Wskaźnik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AC5FCD" w:rsidRDefault="009C7753">
            <w:pP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Ilość punktów</w:t>
            </w:r>
          </w:p>
        </w:tc>
      </w:tr>
      <w:tr w:rsidR="00AC5FCD">
        <w:trPr>
          <w:trHeight w:val="687"/>
          <w:jc w:val="center"/>
        </w:trPr>
        <w:tc>
          <w:tcPr>
            <w:tcW w:w="19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C5FCD" w:rsidRDefault="009C7753">
            <w:pP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WSKAŹNIKI ZYSKOWNOŚCI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AC5FCD" w:rsidRDefault="009C7753">
            <w:pPr>
              <w:jc w:val="left"/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 xml:space="preserve">zyskowności  netto  (%)                                                          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0,24%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0,15%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3</w:t>
            </w:r>
          </w:p>
        </w:tc>
        <w:tc>
          <w:tcPr>
            <w:tcW w:w="11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0,14%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3</w:t>
            </w:r>
          </w:p>
        </w:tc>
      </w:tr>
      <w:tr w:rsidR="00AC5FCD">
        <w:trPr>
          <w:trHeight w:val="1122"/>
          <w:jc w:val="center"/>
        </w:trPr>
        <w:tc>
          <w:tcPr>
            <w:tcW w:w="19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FCD" w:rsidRDefault="00AC5FCD">
            <w:pPr>
              <w:jc w:val="left"/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AC5FCD" w:rsidRDefault="009C7753">
            <w:pPr>
              <w:jc w:val="left"/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 xml:space="preserve">zyskowności działalności operacyjnej (%)           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0,00%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3</w:t>
            </w:r>
          </w:p>
        </w:tc>
        <w:tc>
          <w:tcPr>
            <w:tcW w:w="11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3</w:t>
            </w:r>
          </w:p>
        </w:tc>
      </w:tr>
      <w:tr w:rsidR="00AC5FCD">
        <w:trPr>
          <w:trHeight w:val="695"/>
          <w:jc w:val="center"/>
        </w:trPr>
        <w:tc>
          <w:tcPr>
            <w:tcW w:w="19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FCD" w:rsidRDefault="00AC5FCD">
            <w:pPr>
              <w:jc w:val="left"/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C5FCD" w:rsidRDefault="009C7753">
            <w:pPr>
              <w:jc w:val="left"/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zyskowność aktywów (%)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0,39%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0,24%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3</w:t>
            </w:r>
          </w:p>
        </w:tc>
        <w:tc>
          <w:tcPr>
            <w:tcW w:w="11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0,25%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3</w:t>
            </w:r>
          </w:p>
        </w:tc>
      </w:tr>
      <w:tr w:rsidR="00AC5FCD">
        <w:trPr>
          <w:trHeight w:val="681"/>
          <w:jc w:val="center"/>
        </w:trPr>
        <w:tc>
          <w:tcPr>
            <w:tcW w:w="3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C5FCD" w:rsidRDefault="009C7753">
            <w:pPr>
              <w:jc w:val="left"/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Maksymalna ocena punktowa 15 pkt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FFCC"/>
            <w:vAlign w:val="center"/>
          </w:tcPr>
          <w:p w:rsidR="00AC5FCD" w:rsidRDefault="009C7753">
            <w:pPr>
              <w:jc w:val="left"/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Razem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C5FCD" w:rsidRDefault="009C7753">
            <w:pP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FFCC"/>
            <w:vAlign w:val="center"/>
          </w:tcPr>
          <w:p w:rsidR="00AC5FCD" w:rsidRDefault="00AC5FCD">
            <w:pPr>
              <w:jc w:val="left"/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C5FCD" w:rsidRDefault="009C7753">
            <w:pP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CFFCC"/>
            <w:vAlign w:val="center"/>
          </w:tcPr>
          <w:p w:rsidR="00AC5FCD" w:rsidRDefault="00AC5FCD">
            <w:pPr>
              <w:jc w:val="left"/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C5FCD" w:rsidRDefault="009C7753">
            <w:pP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9</w:t>
            </w:r>
          </w:p>
        </w:tc>
      </w:tr>
      <w:tr w:rsidR="00AC5FCD">
        <w:trPr>
          <w:trHeight w:val="781"/>
          <w:jc w:val="center"/>
        </w:trPr>
        <w:tc>
          <w:tcPr>
            <w:tcW w:w="19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center"/>
          </w:tcPr>
          <w:p w:rsidR="00AC5FCD" w:rsidRDefault="009C7753">
            <w:pP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WSKAŹNIKI PŁYNNOŚCI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AC5FCD" w:rsidRDefault="009C7753">
            <w:pPr>
              <w:jc w:val="left"/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 xml:space="preserve">bieżącej płynności                                          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1,57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1,57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12</w:t>
            </w:r>
          </w:p>
        </w:tc>
        <w:tc>
          <w:tcPr>
            <w:tcW w:w="11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1,56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12</w:t>
            </w:r>
          </w:p>
        </w:tc>
      </w:tr>
      <w:tr w:rsidR="00AC5FCD">
        <w:trPr>
          <w:trHeight w:val="817"/>
          <w:jc w:val="center"/>
        </w:trPr>
        <w:tc>
          <w:tcPr>
            <w:tcW w:w="19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FCD" w:rsidRDefault="00AC5FCD">
            <w:pPr>
              <w:jc w:val="left"/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AC5FCD" w:rsidRDefault="009C7753">
            <w:pPr>
              <w:jc w:val="left"/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szybkiej płynności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1,55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1,55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13</w:t>
            </w:r>
          </w:p>
        </w:tc>
        <w:tc>
          <w:tcPr>
            <w:tcW w:w="11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1,54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13</w:t>
            </w:r>
          </w:p>
        </w:tc>
      </w:tr>
      <w:tr w:rsidR="00AC5FCD">
        <w:trPr>
          <w:trHeight w:val="743"/>
          <w:jc w:val="center"/>
        </w:trPr>
        <w:tc>
          <w:tcPr>
            <w:tcW w:w="3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C5FCD" w:rsidRDefault="009C7753">
            <w:pPr>
              <w:jc w:val="left"/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Maksymalna ocena punktowa 25 pkt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FFFF"/>
            <w:vAlign w:val="center"/>
          </w:tcPr>
          <w:p w:rsidR="00AC5FCD" w:rsidRDefault="009C7753">
            <w:pPr>
              <w:jc w:val="left"/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Razem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center"/>
          </w:tcPr>
          <w:p w:rsidR="00AC5FCD" w:rsidRDefault="009C7753">
            <w:pP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25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FFFF"/>
            <w:vAlign w:val="center"/>
          </w:tcPr>
          <w:p w:rsidR="00AC5FCD" w:rsidRDefault="00AC5FCD">
            <w:pPr>
              <w:jc w:val="left"/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FFFF"/>
            <w:vAlign w:val="center"/>
          </w:tcPr>
          <w:p w:rsidR="00AC5FCD" w:rsidRDefault="009C7753">
            <w:pP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25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FF"/>
            <w:vAlign w:val="center"/>
          </w:tcPr>
          <w:p w:rsidR="00AC5FCD" w:rsidRDefault="00AC5FCD">
            <w:pPr>
              <w:jc w:val="left"/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center"/>
          </w:tcPr>
          <w:p w:rsidR="00AC5FCD" w:rsidRDefault="009C7753">
            <w:pP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25</w:t>
            </w:r>
          </w:p>
        </w:tc>
      </w:tr>
      <w:tr w:rsidR="00AC5FCD">
        <w:trPr>
          <w:trHeight w:val="1044"/>
          <w:jc w:val="center"/>
        </w:trPr>
        <w:tc>
          <w:tcPr>
            <w:tcW w:w="19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C5FCD" w:rsidRDefault="009C7753">
            <w:pP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WSKAŹNIKI EFEKTYWNOŚCI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AC5FCD" w:rsidRDefault="009C7753">
            <w:pPr>
              <w:jc w:val="left"/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 xml:space="preserve">rotacji należności </w:t>
            </w: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br/>
              <w:t xml:space="preserve">(w dniach)                          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highlight w:val="yellow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29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3</w:t>
            </w:r>
          </w:p>
        </w:tc>
        <w:tc>
          <w:tcPr>
            <w:tcW w:w="11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3</w:t>
            </w:r>
          </w:p>
        </w:tc>
      </w:tr>
      <w:tr w:rsidR="00AC5FCD">
        <w:trPr>
          <w:trHeight w:val="971"/>
          <w:jc w:val="center"/>
        </w:trPr>
        <w:tc>
          <w:tcPr>
            <w:tcW w:w="19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FCD" w:rsidRDefault="00AC5FCD">
            <w:pPr>
              <w:jc w:val="left"/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AC5FCD" w:rsidRDefault="009C7753">
            <w:pPr>
              <w:jc w:val="left"/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 xml:space="preserve">rotacji zobowiązań </w:t>
            </w: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br/>
              <w:t>(w dniach)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11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7</w:t>
            </w:r>
          </w:p>
        </w:tc>
        <w:tc>
          <w:tcPr>
            <w:tcW w:w="11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7</w:t>
            </w:r>
          </w:p>
        </w:tc>
      </w:tr>
      <w:tr w:rsidR="00AC5FCD">
        <w:trPr>
          <w:trHeight w:val="769"/>
          <w:jc w:val="center"/>
        </w:trPr>
        <w:tc>
          <w:tcPr>
            <w:tcW w:w="3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C5FCD" w:rsidRDefault="009C7753">
            <w:pPr>
              <w:jc w:val="left"/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Maksymalna ocena punktowa 10 pkt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FFCC"/>
            <w:vAlign w:val="center"/>
          </w:tcPr>
          <w:p w:rsidR="00AC5FCD" w:rsidRDefault="009C7753">
            <w:pPr>
              <w:jc w:val="left"/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Razem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C5FCD" w:rsidRDefault="009C7753">
            <w:pP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FFCC"/>
            <w:vAlign w:val="center"/>
          </w:tcPr>
          <w:p w:rsidR="00AC5FCD" w:rsidRDefault="00AC5FCD">
            <w:pPr>
              <w:jc w:val="left"/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FFCC"/>
            <w:vAlign w:val="center"/>
          </w:tcPr>
          <w:p w:rsidR="00AC5FCD" w:rsidRDefault="009C7753">
            <w:pP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10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vAlign w:val="center"/>
          </w:tcPr>
          <w:p w:rsidR="00AC5FCD" w:rsidRDefault="00AC5FCD">
            <w:pPr>
              <w:jc w:val="left"/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C5FCD" w:rsidRDefault="009C7753">
            <w:pP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10</w:t>
            </w:r>
          </w:p>
        </w:tc>
      </w:tr>
      <w:tr w:rsidR="00AC5FCD">
        <w:trPr>
          <w:trHeight w:val="663"/>
          <w:jc w:val="center"/>
        </w:trPr>
        <w:tc>
          <w:tcPr>
            <w:tcW w:w="19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center"/>
          </w:tcPr>
          <w:p w:rsidR="00AC5FCD" w:rsidRDefault="009C7753">
            <w:pP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WSKAŹNIKI ZADŁUŻENIA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AC5FCD" w:rsidRDefault="009C7753">
            <w:pPr>
              <w:jc w:val="left"/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 xml:space="preserve">zadłużenia aktywów (%)                         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23%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24%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10</w:t>
            </w:r>
          </w:p>
        </w:tc>
        <w:tc>
          <w:tcPr>
            <w:tcW w:w="11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25%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10</w:t>
            </w:r>
          </w:p>
        </w:tc>
      </w:tr>
      <w:tr w:rsidR="00AC5FCD">
        <w:trPr>
          <w:trHeight w:val="557"/>
          <w:jc w:val="center"/>
        </w:trPr>
        <w:tc>
          <w:tcPr>
            <w:tcW w:w="19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FCD" w:rsidRDefault="00AC5FCD">
            <w:pPr>
              <w:jc w:val="left"/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AC5FCD" w:rsidRDefault="009C7753">
            <w:pPr>
              <w:jc w:val="left"/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wypłacalności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0,55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0,56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8</w:t>
            </w:r>
          </w:p>
        </w:tc>
        <w:tc>
          <w:tcPr>
            <w:tcW w:w="11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0,57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8</w:t>
            </w:r>
          </w:p>
        </w:tc>
      </w:tr>
      <w:tr w:rsidR="00AC5FCD">
        <w:trPr>
          <w:trHeight w:val="699"/>
          <w:jc w:val="center"/>
        </w:trPr>
        <w:tc>
          <w:tcPr>
            <w:tcW w:w="3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C5FCD" w:rsidRDefault="009C7753">
            <w:pPr>
              <w:jc w:val="left"/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Maksymalna ocena punktowa 20 pkt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FFFF"/>
            <w:vAlign w:val="center"/>
          </w:tcPr>
          <w:p w:rsidR="00AC5FCD" w:rsidRDefault="009C7753">
            <w:pPr>
              <w:jc w:val="left"/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Razem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center"/>
          </w:tcPr>
          <w:p w:rsidR="00AC5FCD" w:rsidRDefault="009C7753">
            <w:pP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FFFF"/>
            <w:vAlign w:val="center"/>
          </w:tcPr>
          <w:p w:rsidR="00AC5FCD" w:rsidRDefault="00AC5FCD">
            <w:pPr>
              <w:jc w:val="left"/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FFFF"/>
            <w:vAlign w:val="center"/>
          </w:tcPr>
          <w:p w:rsidR="00AC5FCD" w:rsidRDefault="009C7753">
            <w:pP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18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FF"/>
            <w:vAlign w:val="center"/>
          </w:tcPr>
          <w:p w:rsidR="00AC5FCD" w:rsidRDefault="00AC5FCD">
            <w:pPr>
              <w:jc w:val="left"/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center"/>
          </w:tcPr>
          <w:p w:rsidR="00AC5FCD" w:rsidRDefault="009C7753">
            <w:pP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18</w:t>
            </w:r>
          </w:p>
        </w:tc>
      </w:tr>
      <w:tr w:rsidR="00AC5FCD">
        <w:trPr>
          <w:trHeight w:val="710"/>
          <w:jc w:val="center"/>
        </w:trPr>
        <w:tc>
          <w:tcPr>
            <w:tcW w:w="3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vAlign w:val="center"/>
          </w:tcPr>
          <w:p w:rsidR="00AC5FCD" w:rsidRDefault="009C7753">
            <w:pP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Łączna wartość punktów osiągniętych</w:t>
            </w:r>
          </w:p>
        </w:tc>
        <w:tc>
          <w:tcPr>
            <w:tcW w:w="20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AC5FCD" w:rsidRDefault="009C7753">
            <w:pP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62 (88,57%)</w:t>
            </w:r>
          </w:p>
        </w:tc>
        <w:tc>
          <w:tcPr>
            <w:tcW w:w="21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AC5FCD" w:rsidRDefault="009C7753">
            <w:pP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62 (88,57%)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AC5FCD" w:rsidRDefault="009C7753">
            <w:pP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62 (88,57%)</w:t>
            </w:r>
          </w:p>
        </w:tc>
      </w:tr>
      <w:tr w:rsidR="00AC5FCD">
        <w:trPr>
          <w:trHeight w:val="976"/>
          <w:jc w:val="center"/>
        </w:trPr>
        <w:tc>
          <w:tcPr>
            <w:tcW w:w="3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vAlign w:val="center"/>
          </w:tcPr>
          <w:p w:rsidR="00AC5FCD" w:rsidRDefault="009C7753">
            <w:pP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Maksymalna wartość punktów możliwych do osiągnięcia</w:t>
            </w:r>
          </w:p>
        </w:tc>
        <w:tc>
          <w:tcPr>
            <w:tcW w:w="20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AC5FCD" w:rsidRDefault="009C7753">
            <w:pP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70 (100%)</w:t>
            </w:r>
          </w:p>
        </w:tc>
        <w:tc>
          <w:tcPr>
            <w:tcW w:w="21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AC5FCD" w:rsidRDefault="009C7753">
            <w:pP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70 (100%)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AC5FCD" w:rsidRDefault="009C7753">
            <w:pP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70 (100%)</w:t>
            </w:r>
          </w:p>
        </w:tc>
      </w:tr>
    </w:tbl>
    <w:p w:rsidR="00AC5FCD" w:rsidRDefault="009C7753">
      <w:pPr>
        <w:spacing w:before="240" w:line="276" w:lineRule="auto"/>
        <w:jc w:val="both"/>
        <w:rPr>
          <w:b/>
          <w:color w:val="00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lastRenderedPageBreak/>
        <w:t>Prognozowane przez MCM „Górna” w Łodzi wskaźniki na lata 2025-2027:</w:t>
      </w:r>
    </w:p>
    <w:p w:rsidR="00AC5FCD" w:rsidRDefault="009C7753">
      <w:pPr>
        <w:numPr>
          <w:ilvl w:val="0"/>
          <w:numId w:val="28"/>
        </w:numPr>
        <w:tabs>
          <w:tab w:val="left" w:pos="360"/>
        </w:tabs>
        <w:spacing w:line="276" w:lineRule="auto"/>
        <w:ind w:left="360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Wskaźniki zyskowności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– jednostka prognozuje pogorszenie wskaźników w latach 2025-2027 w stosunku do roku 2024 i 2023. Wskaźniki zyskowności netto osiągają wartości odpowiednio 0,24/0,15/0,14%. Ma to swoje odzwierciedlenie w wysokości prognozowanych wyników finansowych netto, których prognozowane wartości osiągają niższe wartości dodatnie. Jednak prognozy na lata 2025-2027 zakładają równoważenie kosztów osiąganymi przychodami. </w:t>
      </w:r>
    </w:p>
    <w:p w:rsidR="00AC5FCD" w:rsidRDefault="009C7753">
      <w:pPr>
        <w:numPr>
          <w:ilvl w:val="0"/>
          <w:numId w:val="28"/>
        </w:numPr>
        <w:tabs>
          <w:tab w:val="left" w:pos="360"/>
        </w:tabs>
        <w:spacing w:line="276" w:lineRule="auto"/>
        <w:ind w:left="360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Wskaźniki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>
        <w:rPr>
          <w:b/>
          <w:color w:val="000000"/>
          <w:szCs w:val="20"/>
          <w:shd w:val="clear" w:color="auto" w:fill="FFFFFF"/>
          <w:lang w:eastAsia="en-US" w:bidi="ar-SA"/>
        </w:rPr>
        <w:t>płynności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– zgodnie z założeniami jednostka prognozuje niewielkie pogorszenie w stosunku do roku 2023 i 2024 poziomu wskaźników płynności. W okresie prognozy wskaźniki płynności bieżącej i płynności szybkiej mają przybliżoną wartość; wskaźniki płynności bieżącej uzyskują wartości 1,57/1,57/1,56, a wskaźnik płynności szybkiej wartość 1,55/1,55/1,54. Prognozowany niewielki spadek płynności: w okresie prognozy następuje niewielki wzrost wartości aktywów obrotowych przy wzroście zobowiązań krótkoterminowych m.in. z planowanego zaciągnięcia pożyczki na inwestycje i utrzymaniu zbliżonej wartości rezerw krótkoterminowych.</w:t>
      </w:r>
    </w:p>
    <w:p w:rsidR="00AC5FCD" w:rsidRDefault="009C7753">
      <w:pPr>
        <w:numPr>
          <w:ilvl w:val="0"/>
          <w:numId w:val="28"/>
        </w:numPr>
        <w:tabs>
          <w:tab w:val="left" w:pos="360"/>
        </w:tabs>
        <w:spacing w:line="276" w:lineRule="auto"/>
        <w:ind w:left="360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Wskaźniki efektywności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– prognoza przewiduje utrzymanie wskaźnika </w:t>
      </w:r>
      <w:r>
        <w:rPr>
          <w:b/>
          <w:color w:val="000000"/>
          <w:szCs w:val="20"/>
          <w:shd w:val="clear" w:color="auto" w:fill="FFFFFF"/>
          <w:lang w:eastAsia="en-US" w:bidi="ar-SA"/>
        </w:rPr>
        <w:t>rotacji należności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na zbliżonym poziomie do roku 2024 osiągając odpowiednio wartości 30/29/29 dni (2024 rok 30 dni) oraz nieznaczne (w porównaniu do roku 2024) pogorszenie poziomu wskaźnika </w:t>
      </w:r>
      <w:r>
        <w:rPr>
          <w:b/>
          <w:color w:val="000000"/>
          <w:szCs w:val="20"/>
          <w:shd w:val="clear" w:color="auto" w:fill="FFFFFF"/>
          <w:lang w:eastAsia="en-US" w:bidi="ar-SA"/>
        </w:rPr>
        <w:t>rotacji zobowiązań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 osiągając odpowiednio wartości 9/11/12 dni (w roku 2024 - 7 dni); % wzrost zobowiązań z tytułu dostaw towarów i usług większy niż %  wzrost przychodów.  M</w:t>
      </w:r>
      <w:r>
        <w:rPr>
          <w:color w:val="000000"/>
          <w:szCs w:val="20"/>
          <w:shd w:val="clear" w:color="auto" w:fill="FFFFFF"/>
        </w:rPr>
        <w:t>CM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„Górna” w Łodzi nie przewiduje pojawienia się problemów z terminowym uzyskiwaniem należności oraz pokrywaniem zobowiązań. </w:t>
      </w:r>
      <w:bookmarkStart w:id="15" w:name="_Hlk172300505"/>
      <w:r>
        <w:rPr>
          <w:color w:val="000000"/>
          <w:szCs w:val="20"/>
          <w:shd w:val="clear" w:color="auto" w:fill="FFFFFF"/>
          <w:lang w:eastAsia="en-US" w:bidi="ar-SA"/>
        </w:rPr>
        <w:t>W poszczególnych latach prognozy suma punktów wynosi 10.</w:t>
      </w:r>
    </w:p>
    <w:bookmarkEnd w:id="15"/>
    <w:p w:rsidR="00AC5FCD" w:rsidRDefault="009C7753">
      <w:pPr>
        <w:numPr>
          <w:ilvl w:val="0"/>
          <w:numId w:val="28"/>
        </w:numPr>
        <w:tabs>
          <w:tab w:val="left" w:pos="360"/>
        </w:tabs>
        <w:ind w:left="360"/>
        <w:jc w:val="both"/>
        <w:rPr>
          <w:i/>
          <w:color w:val="FF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Wskaźniki zadłużenia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</w:t>
      </w:r>
    </w:p>
    <w:p w:rsidR="00AC5FCD" w:rsidRDefault="009C7753">
      <w:pPr>
        <w:numPr>
          <w:ilvl w:val="0"/>
          <w:numId w:val="29"/>
        </w:numPr>
        <w:tabs>
          <w:tab w:val="left" w:pos="360"/>
        </w:tabs>
        <w:spacing w:after="160" w:line="276" w:lineRule="auto"/>
        <w:ind w:left="709" w:hanging="283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b/>
          <w:color w:val="000000"/>
          <w:szCs w:val="20"/>
          <w:u w:val="single"/>
          <w:shd w:val="clear" w:color="auto" w:fill="FFFFFF"/>
          <w:lang w:val="en-US" w:eastAsia="en-US" w:bidi="ar-SA"/>
        </w:rPr>
        <w:t>wskaźniki zadłużenia aktywów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(stosunek zobowiązań do aktywów) prognoza zakłada utrzymanie wskaźnika na zbliżonym poziomie do roku 2024; prognozowany wskaźnik osiąga wartości 23/24/25%, co przekłada się na 10 punktów i oznacza bezpieczny poziom (rok 2024 23%)</w:t>
      </w:r>
      <w:r>
        <w:rPr>
          <w:color w:val="000000"/>
          <w:szCs w:val="20"/>
          <w:shd w:val="clear" w:color="auto" w:fill="FFFFFF"/>
          <w:lang w:val="en-US" w:eastAsia="en-US" w:bidi="en-US"/>
        </w:rPr>
        <w:t>;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</w:t>
      </w:r>
    </w:p>
    <w:p w:rsidR="00AC5FCD" w:rsidRDefault="009C7753">
      <w:pPr>
        <w:numPr>
          <w:ilvl w:val="0"/>
          <w:numId w:val="29"/>
        </w:numPr>
        <w:tabs>
          <w:tab w:val="left" w:pos="360"/>
        </w:tabs>
        <w:spacing w:after="160" w:line="276" w:lineRule="auto"/>
        <w:ind w:left="709" w:hanging="283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  <w:t>wskaźnik</w:t>
      </w:r>
      <w:r>
        <w:rPr>
          <w:b/>
          <w:color w:val="000000"/>
          <w:szCs w:val="20"/>
          <w:u w:val="single"/>
          <w:shd w:val="clear" w:color="auto" w:fill="FFFFFF"/>
          <w:lang w:val="en-US" w:eastAsia="en-US" w:bidi="ar-SA"/>
        </w:rPr>
        <w:t xml:space="preserve"> wypłacalności</w:t>
      </w:r>
      <w:r>
        <w:rPr>
          <w:color w:val="000000"/>
          <w:szCs w:val="20"/>
          <w:shd w:val="clear" w:color="auto" w:fill="FFFFFF"/>
          <w:lang w:val="en-US" w:eastAsia="en-US" w:bidi="ar-SA"/>
        </w:rPr>
        <w:t xml:space="preserve"> (stosunek zobowiązań i rezerw do kapitału własnego) – prognoza zakłada stopniowe nieznaczne pogorszenie wartości wskaźnika, jego prognozowana wartość wynosi odpowiednio 0,55/0,56/0,57, co przekłada się na wartość punktową – 8 pkt (w roku 2024 wskaźnik wynosił 0,46). Wynika to z faktu większego % wzrostu zobowiązań krótkoterminowych przy % mniejszym wzroście kapitału własnego, z uwagi na prognozowane osiągane niższe niż latach poprzednich dodatnie wyniki finansowe. </w:t>
      </w:r>
    </w:p>
    <w:p w:rsidR="00AC5FCD" w:rsidRDefault="00AC5FCD">
      <w:pPr>
        <w:tabs>
          <w:tab w:val="left" w:pos="360"/>
        </w:tabs>
        <w:spacing w:after="160" w:line="276" w:lineRule="auto"/>
        <w:ind w:left="426"/>
        <w:contextualSpacing/>
        <w:jc w:val="both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</w:p>
    <w:p w:rsidR="00AC5FCD" w:rsidRDefault="009C7753">
      <w:pPr>
        <w:tabs>
          <w:tab w:val="left" w:pos="360"/>
        </w:tabs>
        <w:spacing w:after="160" w:line="276" w:lineRule="auto"/>
        <w:ind w:left="426"/>
        <w:contextualSpacing/>
        <w:jc w:val="both"/>
        <w:rPr>
          <w:color w:val="000000"/>
          <w:szCs w:val="20"/>
          <w:shd w:val="clear" w:color="auto" w:fill="FFFFFF"/>
          <w:lang w:val="en-US" w:eastAsia="en-US" w:bidi="ar-SA"/>
        </w:rPr>
      </w:pPr>
      <w:r>
        <w:rPr>
          <w:color w:val="000000"/>
          <w:szCs w:val="20"/>
          <w:shd w:val="clear" w:color="auto" w:fill="FFFFFF"/>
          <w:lang w:val="en-US" w:eastAsia="en-US" w:bidi="ar-SA"/>
        </w:rPr>
        <w:t>Obie wartości wskaźników w okresie prognozy uzyskują łączną pulę punktów na poziomie 18 i potwierdzają stabilną sytuację finansową jednostki.</w:t>
      </w:r>
    </w:p>
    <w:p w:rsidR="00AC5FCD" w:rsidRDefault="00AC5FCD">
      <w:pPr>
        <w:spacing w:line="276" w:lineRule="auto"/>
        <w:jc w:val="both"/>
        <w:rPr>
          <w:b/>
          <w:color w:val="000000"/>
          <w:szCs w:val="20"/>
          <w:shd w:val="clear" w:color="auto" w:fill="FFFFFF"/>
          <w:lang w:eastAsia="en-US" w:bidi="ar-SA"/>
        </w:rPr>
      </w:pPr>
    </w:p>
    <w:p w:rsidR="00AC5FCD" w:rsidRDefault="009C7753">
      <w:pPr>
        <w:spacing w:line="276" w:lineRule="auto"/>
        <w:jc w:val="both"/>
        <w:rPr>
          <w:b/>
          <w:color w:val="00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br w:type="page"/>
      </w:r>
      <w:r>
        <w:rPr>
          <w:b/>
          <w:color w:val="000000"/>
          <w:szCs w:val="20"/>
          <w:shd w:val="clear" w:color="auto" w:fill="FFFFFF"/>
          <w:lang w:eastAsia="en-US" w:bidi="ar-SA"/>
        </w:rPr>
        <w:lastRenderedPageBreak/>
        <w:t>Prognoza MCM „Górna” w Łodzi na lata 2025-2027 (zł)</w:t>
      </w:r>
    </w:p>
    <w:p w:rsidR="00AC5FCD" w:rsidRDefault="00AC5FCD">
      <w:pPr>
        <w:spacing w:line="276" w:lineRule="auto"/>
        <w:jc w:val="both"/>
        <w:rPr>
          <w:b/>
          <w:color w:val="000000"/>
          <w:szCs w:val="20"/>
          <w:shd w:val="clear" w:color="auto" w:fill="FFFFFF"/>
          <w:lang w:eastAsia="en-US" w:bidi="ar-SA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722"/>
        <w:gridCol w:w="903"/>
        <w:gridCol w:w="1090"/>
        <w:gridCol w:w="722"/>
        <w:gridCol w:w="1271"/>
        <w:gridCol w:w="903"/>
        <w:gridCol w:w="1441"/>
      </w:tblGrid>
      <w:tr w:rsidR="00AC5FCD">
        <w:trPr>
          <w:trHeight w:val="257"/>
        </w:trPr>
        <w:tc>
          <w:tcPr>
            <w:tcW w:w="11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AC5FCD" w:rsidRDefault="009C7753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Dane bilansowe</w:t>
            </w:r>
          </w:p>
        </w:tc>
        <w:tc>
          <w:tcPr>
            <w:tcW w:w="3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5FCD" w:rsidRDefault="009C7753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 </w:t>
            </w:r>
          </w:p>
        </w:tc>
        <w:tc>
          <w:tcPr>
            <w:tcW w:w="49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AC5FCD" w:rsidRDefault="009C7753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2025</w:t>
            </w:r>
          </w:p>
        </w:tc>
        <w:tc>
          <w:tcPr>
            <w:tcW w:w="6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5FCD" w:rsidRDefault="009C7753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wartość</w:t>
            </w:r>
          </w:p>
        </w:tc>
        <w:tc>
          <w:tcPr>
            <w:tcW w:w="39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AC5FCD" w:rsidRDefault="009C7753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2026</w:t>
            </w:r>
          </w:p>
        </w:tc>
        <w:tc>
          <w:tcPr>
            <w:tcW w:w="7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5FCD" w:rsidRDefault="009C7753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wartość</w:t>
            </w:r>
          </w:p>
        </w:tc>
        <w:tc>
          <w:tcPr>
            <w:tcW w:w="49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AC5FCD" w:rsidRDefault="009C7753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2027</w:t>
            </w:r>
          </w:p>
        </w:tc>
        <w:tc>
          <w:tcPr>
            <w:tcW w:w="7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5FCD" w:rsidRDefault="009C7753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wartość</w:t>
            </w:r>
          </w:p>
        </w:tc>
      </w:tr>
      <w:tr w:rsidR="00AC5FCD">
        <w:trPr>
          <w:trHeight w:val="636"/>
        </w:trPr>
        <w:tc>
          <w:tcPr>
            <w:tcW w:w="1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5FCD" w:rsidRDefault="009C7753">
            <w:pPr>
              <w:jc w:val="lef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Wynik finansowy netto trend: </w:t>
            </w: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rosnąco/malejący</w:t>
            </w:r>
          </w:p>
          <w:p w:rsidR="00AC5FCD" w:rsidRDefault="00AC5FCD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10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95 625  </w:t>
            </w:r>
          </w:p>
        </w:tc>
        <w:tc>
          <w:tcPr>
            <w:tcW w:w="110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64 600</w:t>
            </w:r>
          </w:p>
        </w:tc>
        <w:tc>
          <w:tcPr>
            <w:tcW w:w="129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65 900</w:t>
            </w:r>
          </w:p>
        </w:tc>
      </w:tr>
      <w:tr w:rsidR="00AC5FCD">
        <w:trPr>
          <w:trHeight w:val="81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5FCD" w:rsidRDefault="009C7753">
            <w:pPr>
              <w:jc w:val="lef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u w:val="single"/>
                <w:shd w:val="clear" w:color="auto" w:fill="FFFFFF"/>
                <w:lang w:eastAsia="en-US" w:bidi="ar-SA"/>
              </w:rPr>
              <w:t>wnioski</w:t>
            </w: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: zdolność Centrum do generowania zysku przy założeniu uzyskania zaplanowanych przychodów na pokrycie rosnących kosztów funkcjonowania jednostki.</w:t>
            </w:r>
            <w:r>
              <w:rPr>
                <w:szCs w:val="20"/>
              </w:rPr>
              <w:t xml:space="preserve"> </w:t>
            </w: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 xml:space="preserve">W porównaniu do 2023 </w:t>
            </w: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br/>
              <w:t>i 2024 roku wskaźniki maleją z uwagi na generowanie niewielkiego zysku</w:t>
            </w:r>
          </w:p>
        </w:tc>
      </w:tr>
      <w:tr w:rsidR="00AC5FCD">
        <w:trPr>
          <w:trHeight w:val="527"/>
        </w:trPr>
        <w:tc>
          <w:tcPr>
            <w:tcW w:w="1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5FCD" w:rsidRDefault="009C7753">
            <w:pPr>
              <w:jc w:val="lef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Majątek trwały 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br/>
              <w:t xml:space="preserve">trend: </w:t>
            </w: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rosnący</w:t>
            </w:r>
          </w:p>
          <w:p w:rsidR="00AC5FCD" w:rsidRDefault="00AC5FCD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10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21 110 343</w:t>
            </w:r>
          </w:p>
        </w:tc>
        <w:tc>
          <w:tcPr>
            <w:tcW w:w="110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20 693 545</w:t>
            </w:r>
          </w:p>
        </w:tc>
        <w:tc>
          <w:tcPr>
            <w:tcW w:w="129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20 292 783</w:t>
            </w:r>
          </w:p>
        </w:tc>
      </w:tr>
      <w:tr w:rsidR="00AC5FCD">
        <w:trPr>
          <w:trHeight w:val="398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5FCD" w:rsidRDefault="009C7753">
            <w:pPr>
              <w:jc w:val="lef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u w:val="single"/>
                <w:shd w:val="clear" w:color="auto" w:fill="FFFFFF"/>
                <w:lang w:eastAsia="en-US" w:bidi="ar-SA"/>
              </w:rPr>
              <w:t>wnioski:</w:t>
            </w: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 xml:space="preserve"> w latach 2023-2024 wartości na porównywalnym poziomie, w 2025 roku duży wzrost aktywów trwałych - nakłady na modernizację budynków, zakup sprzętu medycznego i informatycznego przy pozyskania środków zewnętrznych i zaangażowaniu środków własnych.</w:t>
            </w:r>
          </w:p>
        </w:tc>
      </w:tr>
      <w:tr w:rsidR="00AC5FCD">
        <w:trPr>
          <w:trHeight w:val="705"/>
        </w:trPr>
        <w:tc>
          <w:tcPr>
            <w:tcW w:w="1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5FCD" w:rsidRDefault="009C7753">
            <w:pPr>
              <w:jc w:val="lef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Kapitał własny trend: </w:t>
            </w: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rosnący</w:t>
            </w:r>
          </w:p>
          <w:p w:rsidR="00AC5FCD" w:rsidRDefault="00AC5FCD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10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11 313 863</w:t>
            </w:r>
          </w:p>
        </w:tc>
        <w:tc>
          <w:tcPr>
            <w:tcW w:w="110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11 378 463</w:t>
            </w:r>
          </w:p>
        </w:tc>
        <w:tc>
          <w:tcPr>
            <w:tcW w:w="129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11 444 763</w:t>
            </w:r>
          </w:p>
        </w:tc>
      </w:tr>
      <w:tr w:rsidR="00AC5FCD">
        <w:trPr>
          <w:trHeight w:val="376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5FCD" w:rsidRDefault="009C7753">
            <w:pPr>
              <w:jc w:val="lef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u w:val="single"/>
                <w:shd w:val="clear" w:color="auto" w:fill="FFFFFF"/>
                <w:lang w:eastAsia="en-US" w:bidi="ar-SA"/>
              </w:rPr>
              <w:t>wnioski:</w:t>
            </w: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 xml:space="preserve"> kapitał własny w okresie prognozy będzie się zwiększał o planowane zyski.</w:t>
            </w:r>
          </w:p>
        </w:tc>
      </w:tr>
    </w:tbl>
    <w:p w:rsidR="00AC5FCD" w:rsidRDefault="009C7753">
      <w:pPr>
        <w:spacing w:before="240"/>
        <w:jc w:val="both"/>
        <w:rPr>
          <w:b/>
          <w:color w:val="00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Przychody (zł) wyciąg z rachunku zysków i strat MCM „Górna” w Łodzi na lata 2025-2027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46"/>
        <w:gridCol w:w="1383"/>
        <w:gridCol w:w="1385"/>
        <w:gridCol w:w="1348"/>
      </w:tblGrid>
      <w:tr w:rsidR="00AC5FCD">
        <w:trPr>
          <w:trHeight w:val="177"/>
          <w:jc w:val="center"/>
        </w:trPr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tabs>
                <w:tab w:val="left" w:pos="1530"/>
              </w:tabs>
              <w:spacing w:line="276" w:lineRule="auto"/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Pozycje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5FCD" w:rsidRDefault="009C7753">
            <w:pPr>
              <w:spacing w:line="276" w:lineRule="auto"/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2025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5FCD" w:rsidRDefault="009C7753">
            <w:pPr>
              <w:spacing w:line="276" w:lineRule="auto"/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2026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5FCD" w:rsidRDefault="009C7753">
            <w:pPr>
              <w:spacing w:line="276" w:lineRule="auto"/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2027</w:t>
            </w:r>
          </w:p>
        </w:tc>
      </w:tr>
      <w:tr w:rsidR="00AC5FCD">
        <w:trPr>
          <w:trHeight w:val="202"/>
          <w:jc w:val="center"/>
        </w:trPr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C5FCD" w:rsidRDefault="009C7753">
            <w:pPr>
              <w:jc w:val="lef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 xml:space="preserve">Przychody netto ze sprzedaży 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39 382 243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 xml:space="preserve"> 42 628 240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 xml:space="preserve"> 44 704 970</w:t>
            </w:r>
          </w:p>
        </w:tc>
      </w:tr>
      <w:tr w:rsidR="00AC5FCD">
        <w:trPr>
          <w:trHeight w:val="300"/>
          <w:jc w:val="center"/>
        </w:trPr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1. Sprzedanych NFZ w tym: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u w:val="single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val="single"/>
                <w:shd w:val="clear" w:color="auto" w:fill="FFFFFF"/>
                <w:lang w:eastAsia="en-US" w:bidi="ar-SA"/>
              </w:rPr>
              <w:t>36 218 260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u w:val="single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val="single"/>
                <w:shd w:val="clear" w:color="auto" w:fill="FFFFFF"/>
                <w:lang w:eastAsia="en-US" w:bidi="ar-SA"/>
              </w:rPr>
              <w:t xml:space="preserve"> 38 664 410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u w:val="single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val="single"/>
                <w:shd w:val="clear" w:color="auto" w:fill="FFFFFF"/>
                <w:lang w:eastAsia="en-US" w:bidi="ar-SA"/>
              </w:rPr>
              <w:t xml:space="preserve"> 40 745 780</w:t>
            </w:r>
          </w:p>
        </w:tc>
      </w:tr>
      <w:tr w:rsidR="00AC5FCD">
        <w:trPr>
          <w:trHeight w:val="300"/>
          <w:jc w:val="center"/>
        </w:trPr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ind w:firstLine="271"/>
              <w:jc w:val="lef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a. POZ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28 346 070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30 320 690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32 027 500</w:t>
            </w:r>
          </w:p>
        </w:tc>
      </w:tr>
      <w:tr w:rsidR="00AC5FCD">
        <w:trPr>
          <w:trHeight w:val="70"/>
          <w:jc w:val="center"/>
        </w:trPr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ind w:firstLine="271"/>
              <w:jc w:val="lef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b. ambulatoryjna opieka specjalistyczna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5 093 580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5 399 000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5 641 950</w:t>
            </w:r>
          </w:p>
        </w:tc>
      </w:tr>
      <w:tr w:rsidR="00AC5FCD">
        <w:trPr>
          <w:trHeight w:val="300"/>
          <w:jc w:val="center"/>
        </w:trPr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ind w:firstLine="271"/>
              <w:jc w:val="lef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c. rehabilitacja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1 478 020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1 566 700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1 637 200</w:t>
            </w:r>
          </w:p>
        </w:tc>
      </w:tr>
      <w:tr w:rsidR="00AC5FCD">
        <w:trPr>
          <w:trHeight w:val="300"/>
          <w:jc w:val="center"/>
        </w:trPr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ind w:firstLine="271"/>
              <w:jc w:val="lef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d. stomatologia i ortodoncja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1 244 480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1 319 120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1 378 400</w:t>
            </w:r>
          </w:p>
        </w:tc>
      </w:tr>
      <w:tr w:rsidR="00AC5FCD">
        <w:trPr>
          <w:trHeight w:val="300"/>
          <w:jc w:val="center"/>
        </w:trPr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ind w:firstLine="271"/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e. pozostała sprzedaż (NFZ)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56 110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58 900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60 730</w:t>
            </w:r>
          </w:p>
        </w:tc>
      </w:tr>
      <w:tr w:rsidR="00AC5FCD">
        <w:trPr>
          <w:trHeight w:val="300"/>
          <w:jc w:val="center"/>
        </w:trPr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2. Pozostałych w tym: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u w:val="single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val="single"/>
                <w:shd w:val="clear" w:color="auto" w:fill="FFFFFF"/>
                <w:lang w:eastAsia="en-US" w:bidi="ar-SA"/>
              </w:rPr>
              <w:t>3 163 983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u w:val="single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val="single"/>
                <w:shd w:val="clear" w:color="auto" w:fill="FFFFFF"/>
                <w:lang w:eastAsia="en-US" w:bidi="ar-SA"/>
              </w:rPr>
              <w:t xml:space="preserve"> 3 963 830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u w:val="single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val="single"/>
                <w:shd w:val="clear" w:color="auto" w:fill="FFFFFF"/>
                <w:lang w:eastAsia="en-US" w:bidi="ar-SA"/>
              </w:rPr>
              <w:t>3 959 190</w:t>
            </w:r>
          </w:p>
        </w:tc>
      </w:tr>
      <w:tr w:rsidR="00AC5FCD">
        <w:trPr>
          <w:trHeight w:val="300"/>
          <w:jc w:val="center"/>
        </w:trPr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ind w:firstLine="228"/>
              <w:jc w:val="lef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 xml:space="preserve">a. profilaktyczne działania zdrowotne 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1 114 244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669 690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530 000</w:t>
            </w:r>
          </w:p>
        </w:tc>
      </w:tr>
      <w:tr w:rsidR="00AC5FCD">
        <w:trPr>
          <w:trHeight w:val="300"/>
          <w:jc w:val="center"/>
        </w:trPr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ind w:firstLine="228"/>
              <w:jc w:val="lef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b. pozostała sprzedaż usług  medycznych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400 000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412 000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432 000</w:t>
            </w:r>
          </w:p>
        </w:tc>
      </w:tr>
      <w:tr w:rsidR="00AC5FCD">
        <w:trPr>
          <w:trHeight w:val="300"/>
          <w:jc w:val="center"/>
        </w:trPr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ind w:firstLine="271"/>
              <w:jc w:val="lef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c. wynajem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1 369 320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1 401 190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1 443 090</w:t>
            </w:r>
          </w:p>
        </w:tc>
      </w:tr>
      <w:tr w:rsidR="00AC5FCD">
        <w:trPr>
          <w:trHeight w:val="300"/>
          <w:jc w:val="center"/>
        </w:trPr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ind w:firstLine="271"/>
              <w:jc w:val="lef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d. inne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280 419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1 480 950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1 554 100</w:t>
            </w:r>
          </w:p>
        </w:tc>
      </w:tr>
      <w:tr w:rsidR="00AC5FCD">
        <w:trPr>
          <w:trHeight w:val="300"/>
          <w:jc w:val="center"/>
        </w:trPr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jc w:val="lef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Pozostałe przychody operacyjne w tym: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 xml:space="preserve"> 527 022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998 100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969 200</w:t>
            </w:r>
          </w:p>
        </w:tc>
      </w:tr>
      <w:tr w:rsidR="00AC5FCD">
        <w:trPr>
          <w:trHeight w:val="300"/>
          <w:jc w:val="center"/>
        </w:trPr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numPr>
                <w:ilvl w:val="0"/>
                <w:numId w:val="30"/>
              </w:numPr>
              <w:ind w:left="567" w:hanging="283"/>
              <w:jc w:val="lef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 xml:space="preserve">dotacje </w:t>
            </w:r>
            <w:r>
              <w:rPr>
                <w:i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(PFRON dofinansowanie wynagrodzeń)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193 400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198 400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201 400</w:t>
            </w:r>
          </w:p>
        </w:tc>
      </w:tr>
      <w:tr w:rsidR="00AC5FCD">
        <w:trPr>
          <w:trHeight w:val="300"/>
          <w:jc w:val="center"/>
        </w:trPr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ind w:firstLine="271"/>
              <w:jc w:val="lef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b. przychody z tytułu odpisów amortyzacyjnych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301 486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767 700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733 800</w:t>
            </w:r>
          </w:p>
        </w:tc>
      </w:tr>
      <w:tr w:rsidR="00AC5FCD">
        <w:trPr>
          <w:trHeight w:val="300"/>
          <w:jc w:val="center"/>
        </w:trPr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ind w:firstLine="271"/>
              <w:jc w:val="lef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c. darowizny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0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0</w:t>
            </w:r>
          </w:p>
        </w:tc>
      </w:tr>
      <w:tr w:rsidR="00AC5FCD">
        <w:trPr>
          <w:trHeight w:val="300"/>
          <w:jc w:val="center"/>
        </w:trPr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ind w:firstLine="271"/>
              <w:jc w:val="lef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d. pozostałe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32 136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 xml:space="preserve"> 32 000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 xml:space="preserve"> 34 000</w:t>
            </w:r>
          </w:p>
        </w:tc>
      </w:tr>
      <w:tr w:rsidR="00AC5FCD">
        <w:trPr>
          <w:trHeight w:val="265"/>
          <w:jc w:val="center"/>
        </w:trPr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jc w:val="lef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Przychody finansowe w tym: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97 500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81 500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80 500</w:t>
            </w:r>
          </w:p>
        </w:tc>
      </w:tr>
      <w:tr w:rsidR="00AC5FCD">
        <w:trPr>
          <w:trHeight w:val="113"/>
          <w:jc w:val="center"/>
        </w:trPr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ind w:left="311"/>
              <w:jc w:val="lef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a. odsetki uzyskane z lokat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96 000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80 000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79 000</w:t>
            </w:r>
          </w:p>
        </w:tc>
      </w:tr>
      <w:tr w:rsidR="00AC5FCD">
        <w:trPr>
          <w:trHeight w:val="231"/>
          <w:jc w:val="center"/>
        </w:trPr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ind w:left="452" w:hanging="1134"/>
              <w:rPr>
                <w:i/>
                <w:color w:val="000000"/>
                <w:szCs w:val="20"/>
                <w:shd w:val="clear" w:color="auto" w:fill="FFFFFF"/>
                <w:lang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bidi="ar-SA"/>
              </w:rPr>
              <w:lastRenderedPageBreak/>
              <w:t>b. odsetki od należności od odbiorców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1 500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1 500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1 500</w:t>
            </w:r>
          </w:p>
        </w:tc>
      </w:tr>
      <w:tr w:rsidR="00AC5FCD">
        <w:trPr>
          <w:trHeight w:val="300"/>
          <w:jc w:val="center"/>
        </w:trPr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AC5FCD">
            <w:pPr>
              <w:jc w:val="lef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  <w:p w:rsidR="00AC5FCD" w:rsidRDefault="009C7753">
            <w:pPr>
              <w:jc w:val="lef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PRZYCHODY ŁĄCZNIE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40 006 765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43 707 840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45 754 670</w:t>
            </w:r>
          </w:p>
        </w:tc>
      </w:tr>
      <w:tr w:rsidR="00AC5FCD">
        <w:trPr>
          <w:trHeight w:val="300"/>
          <w:jc w:val="center"/>
        </w:trPr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jc w:val="left"/>
              <w:rPr>
                <w:b/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i/>
                <w:color w:val="000000"/>
                <w:szCs w:val="20"/>
                <w:shd w:val="clear" w:color="auto" w:fill="FFFFFF"/>
                <w:lang w:eastAsia="en-US" w:bidi="ar-SA"/>
              </w:rPr>
              <w:t>Zmiana stanu produktów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i/>
                <w:color w:val="000000"/>
                <w:szCs w:val="20"/>
                <w:shd w:val="clear" w:color="auto" w:fill="FFFFFF"/>
                <w:lang w:eastAsia="en-US" w:bidi="ar-SA"/>
              </w:rPr>
              <w:t>0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i/>
                <w:color w:val="000000"/>
                <w:szCs w:val="20"/>
                <w:shd w:val="clear" w:color="auto" w:fill="FFFFFF"/>
                <w:lang w:eastAsia="en-US" w:bidi="ar-SA"/>
              </w:rPr>
              <w:t>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i/>
                <w:color w:val="000000"/>
                <w:szCs w:val="20"/>
                <w:shd w:val="clear" w:color="auto" w:fill="FFFFFF"/>
                <w:lang w:eastAsia="en-US" w:bidi="ar-SA"/>
              </w:rPr>
              <w:t>0</w:t>
            </w:r>
          </w:p>
        </w:tc>
      </w:tr>
    </w:tbl>
    <w:p w:rsidR="00AC5FCD" w:rsidRDefault="00AC5FCD">
      <w:pPr>
        <w:spacing w:before="240"/>
        <w:jc w:val="both"/>
        <w:rPr>
          <w:b/>
          <w:color w:val="000000"/>
          <w:szCs w:val="20"/>
          <w:shd w:val="clear" w:color="auto" w:fill="FFFFFF"/>
          <w:lang w:eastAsia="en-US" w:bidi="ar-SA"/>
        </w:rPr>
      </w:pPr>
    </w:p>
    <w:p w:rsidR="00AC5FCD" w:rsidRDefault="009C7753">
      <w:pPr>
        <w:spacing w:before="240"/>
        <w:jc w:val="both"/>
        <w:rPr>
          <w:b/>
          <w:color w:val="00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Koszty (zł) wyciąg z rachunku zysków i strat MCM „Górna” w Łodzi na lata 2025-2027</w:t>
      </w:r>
    </w:p>
    <w:tbl>
      <w:tblPr>
        <w:tblW w:w="494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7"/>
        <w:gridCol w:w="1356"/>
        <w:gridCol w:w="1356"/>
        <w:gridCol w:w="1596"/>
      </w:tblGrid>
      <w:tr w:rsidR="00AC5FCD">
        <w:trPr>
          <w:trHeight w:val="177"/>
          <w:jc w:val="center"/>
        </w:trPr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tabs>
                <w:tab w:val="left" w:pos="1530"/>
              </w:tabs>
              <w:spacing w:line="276" w:lineRule="auto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Pozycje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5FCD" w:rsidRDefault="009C7753">
            <w:pPr>
              <w:spacing w:line="276" w:lineRule="auto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2025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5FCD" w:rsidRDefault="009C7753">
            <w:pPr>
              <w:spacing w:line="276" w:lineRule="auto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2026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5FCD" w:rsidRDefault="009C7753">
            <w:pPr>
              <w:spacing w:line="276" w:lineRule="auto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2027</w:t>
            </w:r>
          </w:p>
        </w:tc>
      </w:tr>
      <w:tr w:rsidR="00AC5FCD">
        <w:trPr>
          <w:trHeight w:val="202"/>
          <w:jc w:val="center"/>
        </w:trPr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jc w:val="lef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Koszty działalności operacyjnej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39 907 026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 xml:space="preserve"> 43 624 740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45 673 040</w:t>
            </w:r>
          </w:p>
        </w:tc>
      </w:tr>
      <w:tr w:rsidR="00AC5FCD">
        <w:trPr>
          <w:trHeight w:val="300"/>
          <w:jc w:val="center"/>
        </w:trPr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1. Amortyzacja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1 241 800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1 659 920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ind w:left="420"/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1 453 930</w:t>
            </w:r>
          </w:p>
        </w:tc>
      </w:tr>
      <w:tr w:rsidR="00AC5FCD">
        <w:trPr>
          <w:trHeight w:val="300"/>
          <w:jc w:val="center"/>
        </w:trPr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numPr>
                <w:ilvl w:val="0"/>
                <w:numId w:val="31"/>
              </w:numPr>
              <w:ind w:left="284" w:hanging="284"/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Zużycie materiałów i energii w tym: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2 326 620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2 325 810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ind w:left="420"/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2 399 490</w:t>
            </w:r>
          </w:p>
        </w:tc>
      </w:tr>
      <w:tr w:rsidR="00AC5FCD">
        <w:trPr>
          <w:trHeight w:val="70"/>
          <w:jc w:val="center"/>
        </w:trPr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numPr>
                <w:ilvl w:val="0"/>
                <w:numId w:val="32"/>
              </w:numPr>
              <w:tabs>
                <w:tab w:val="left" w:pos="424"/>
              </w:tabs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Materiałów niemedycznych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712 000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667 670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687 760</w:t>
            </w:r>
          </w:p>
        </w:tc>
      </w:tr>
      <w:tr w:rsidR="00AC5FCD">
        <w:trPr>
          <w:trHeight w:val="70"/>
          <w:jc w:val="center"/>
        </w:trPr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numPr>
                <w:ilvl w:val="0"/>
                <w:numId w:val="32"/>
              </w:numPr>
              <w:tabs>
                <w:tab w:val="left" w:pos="424"/>
              </w:tabs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Materiałów medycznych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466 620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392 940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404 730</w:t>
            </w:r>
          </w:p>
        </w:tc>
      </w:tr>
      <w:tr w:rsidR="00AC5FCD">
        <w:trPr>
          <w:trHeight w:val="70"/>
          <w:jc w:val="center"/>
        </w:trPr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numPr>
                <w:ilvl w:val="0"/>
                <w:numId w:val="32"/>
              </w:numPr>
              <w:tabs>
                <w:tab w:val="left" w:pos="424"/>
              </w:tabs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Energii i wody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1 148 000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1 265 200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1 307 000</w:t>
            </w:r>
          </w:p>
        </w:tc>
      </w:tr>
      <w:tr w:rsidR="00AC5FCD">
        <w:trPr>
          <w:trHeight w:val="70"/>
          <w:jc w:val="center"/>
        </w:trPr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numPr>
                <w:ilvl w:val="0"/>
                <w:numId w:val="31"/>
              </w:numPr>
              <w:ind w:left="284" w:hanging="284"/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Usługi obce w tym: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10 736 600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12 031 270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ind w:left="15"/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12 598 050</w:t>
            </w:r>
          </w:p>
        </w:tc>
      </w:tr>
      <w:tr w:rsidR="00AC5FCD">
        <w:trPr>
          <w:trHeight w:val="300"/>
          <w:jc w:val="center"/>
        </w:trPr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numPr>
                <w:ilvl w:val="0"/>
                <w:numId w:val="33"/>
              </w:num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Usługi niemedyczne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2 006 600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2 345 870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2 442 050</w:t>
            </w:r>
          </w:p>
        </w:tc>
      </w:tr>
      <w:tr w:rsidR="00AC5FCD">
        <w:trPr>
          <w:trHeight w:val="300"/>
          <w:jc w:val="center"/>
        </w:trPr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numPr>
                <w:ilvl w:val="0"/>
                <w:numId w:val="33"/>
              </w:num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Usługi medyczne w tym: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8 730 000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9 685 400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numPr>
                <w:ilvl w:val="0"/>
                <w:numId w:val="34"/>
              </w:numPr>
              <w:spacing w:after="160" w:line="259" w:lineRule="auto"/>
              <w:ind w:left="15" w:hanging="285"/>
              <w:contextualSpacing/>
              <w:jc w:val="right"/>
              <w:rPr>
                <w:color w:val="000000"/>
                <w:szCs w:val="20"/>
                <w:shd w:val="clear" w:color="auto" w:fill="FFFFFF"/>
                <w:lang w:val="en-US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</w:t>
            </w:r>
            <w:r>
              <w:rPr>
                <w:color w:val="000000"/>
                <w:szCs w:val="20"/>
                <w:shd w:val="clear" w:color="auto" w:fill="FFFFFF"/>
                <w:lang w:val="en-US" w:eastAsia="en-US" w:bidi="ar-SA"/>
              </w:rPr>
              <w:t>56 000</w:t>
            </w:r>
          </w:p>
        </w:tc>
      </w:tr>
      <w:tr w:rsidR="00AC5FCD">
        <w:trPr>
          <w:trHeight w:val="300"/>
          <w:jc w:val="center"/>
        </w:trPr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ind w:left="589"/>
              <w:jc w:val="lef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- podwykonawstwo medyczne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7 772 000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8 696 000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9 132 000</w:t>
            </w:r>
          </w:p>
        </w:tc>
      </w:tr>
      <w:tr w:rsidR="00AC5FCD">
        <w:trPr>
          <w:trHeight w:val="300"/>
          <w:jc w:val="center"/>
        </w:trPr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numPr>
                <w:ilvl w:val="0"/>
                <w:numId w:val="31"/>
              </w:numPr>
              <w:ind w:left="282" w:hanging="284"/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Podatki i opłaty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157 156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161 870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166 730</w:t>
            </w:r>
          </w:p>
        </w:tc>
      </w:tr>
      <w:tr w:rsidR="00AC5FCD">
        <w:trPr>
          <w:trHeight w:val="300"/>
          <w:jc w:val="center"/>
        </w:trPr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numPr>
                <w:ilvl w:val="0"/>
                <w:numId w:val="31"/>
              </w:numPr>
              <w:ind w:left="282" w:hanging="284"/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Wynagrodzenia w tym: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21 350 000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23 035 000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24 378 000</w:t>
            </w:r>
          </w:p>
        </w:tc>
      </w:tr>
      <w:tr w:rsidR="00AC5FCD">
        <w:trPr>
          <w:trHeight w:val="300"/>
          <w:jc w:val="center"/>
        </w:trPr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numPr>
                <w:ilvl w:val="0"/>
                <w:numId w:val="35"/>
              </w:numPr>
              <w:ind w:left="736" w:hanging="529"/>
              <w:jc w:val="lef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wynagrodzenia ze stosunku pracy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20 400 000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21 995 000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23 395 000</w:t>
            </w:r>
          </w:p>
        </w:tc>
      </w:tr>
      <w:tr w:rsidR="00AC5FCD">
        <w:trPr>
          <w:trHeight w:val="300"/>
          <w:jc w:val="center"/>
        </w:trPr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numPr>
                <w:ilvl w:val="0"/>
                <w:numId w:val="35"/>
              </w:numPr>
              <w:ind w:left="656" w:hanging="425"/>
              <w:jc w:val="lef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wynagrodzenia umowy zlecenia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710 000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675 000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680 000</w:t>
            </w:r>
          </w:p>
        </w:tc>
      </w:tr>
      <w:tr w:rsidR="00AC5FCD">
        <w:trPr>
          <w:trHeight w:val="300"/>
          <w:jc w:val="center"/>
        </w:trPr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numPr>
                <w:ilvl w:val="0"/>
                <w:numId w:val="35"/>
              </w:numPr>
              <w:ind w:left="656" w:hanging="425"/>
              <w:jc w:val="lef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wynagrodzenia – odprawy , jubileusz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240 000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365 000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303 000</w:t>
            </w:r>
          </w:p>
        </w:tc>
      </w:tr>
      <w:tr w:rsidR="00AC5FCD">
        <w:trPr>
          <w:trHeight w:val="300"/>
          <w:jc w:val="center"/>
        </w:trPr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numPr>
                <w:ilvl w:val="0"/>
                <w:numId w:val="31"/>
              </w:numPr>
              <w:ind w:left="282" w:hanging="282"/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Ubezpieczenia społeczne i inne świadczenia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3 952 250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4 258 500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4 517 260</w:t>
            </w:r>
          </w:p>
        </w:tc>
      </w:tr>
      <w:tr w:rsidR="00AC5FCD">
        <w:trPr>
          <w:trHeight w:val="300"/>
          <w:jc w:val="center"/>
        </w:trPr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numPr>
                <w:ilvl w:val="0"/>
                <w:numId w:val="31"/>
              </w:numPr>
              <w:ind w:left="282" w:hanging="284"/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Pozostałe koszty rodzajowe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142 600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152 370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159 580</w:t>
            </w:r>
          </w:p>
        </w:tc>
      </w:tr>
      <w:tr w:rsidR="00AC5FCD">
        <w:trPr>
          <w:trHeight w:val="300"/>
          <w:jc w:val="center"/>
        </w:trPr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jc w:val="lef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Pozostałe koszty operacyjne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608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10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 xml:space="preserve"> 10</w:t>
            </w:r>
          </w:p>
        </w:tc>
      </w:tr>
      <w:tr w:rsidR="00AC5FCD">
        <w:trPr>
          <w:trHeight w:val="300"/>
          <w:jc w:val="center"/>
        </w:trPr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jc w:val="lef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Koszty finansowe w tym: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3 506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18 490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15 720</w:t>
            </w:r>
          </w:p>
        </w:tc>
      </w:tr>
      <w:tr w:rsidR="00AC5FCD">
        <w:trPr>
          <w:trHeight w:val="300"/>
          <w:jc w:val="center"/>
        </w:trPr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FCD" w:rsidRDefault="009C7753">
            <w:pPr>
              <w:numPr>
                <w:ilvl w:val="0"/>
                <w:numId w:val="36"/>
              </w:numPr>
              <w:ind w:left="567"/>
              <w:jc w:val="lef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odsetki od kredytów/pożyczek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 xml:space="preserve"> 3 506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 xml:space="preserve"> 18 490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i/>
                <w:color w:val="000000"/>
                <w:szCs w:val="20"/>
                <w:shd w:val="clear" w:color="auto" w:fill="FFFFFF"/>
                <w:lang w:eastAsia="en-US" w:bidi="ar-SA"/>
              </w:rPr>
              <w:t>15 720</w:t>
            </w:r>
          </w:p>
        </w:tc>
      </w:tr>
      <w:tr w:rsidR="00AC5FCD">
        <w:trPr>
          <w:trHeight w:val="300"/>
          <w:jc w:val="center"/>
        </w:trPr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numPr>
                <w:ilvl w:val="0"/>
                <w:numId w:val="11"/>
              </w:numPr>
              <w:ind w:left="15" w:hanging="528"/>
              <w:jc w:val="lef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Podatek dochodowy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0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0</w:t>
            </w:r>
          </w:p>
        </w:tc>
      </w:tr>
      <w:tr w:rsidR="00AC5FCD">
        <w:trPr>
          <w:trHeight w:val="300"/>
          <w:jc w:val="center"/>
        </w:trPr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numPr>
                <w:ilvl w:val="0"/>
                <w:numId w:val="11"/>
              </w:numPr>
              <w:ind w:left="15" w:hanging="528"/>
              <w:jc w:val="lef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 xml:space="preserve">KOSZTY ŁĄCZNIE 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 xml:space="preserve">39 911 140    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 xml:space="preserve">43 643 240   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 xml:space="preserve">45 688 770    </w:t>
            </w:r>
          </w:p>
        </w:tc>
      </w:tr>
      <w:tr w:rsidR="00AC5FCD">
        <w:trPr>
          <w:trHeight w:val="300"/>
          <w:jc w:val="center"/>
        </w:trPr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FCD" w:rsidRDefault="00AC5FCD">
            <w:pPr>
              <w:numPr>
                <w:ilvl w:val="0"/>
                <w:numId w:val="11"/>
              </w:numPr>
              <w:ind w:left="567" w:hanging="1080"/>
              <w:jc w:val="lef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  <w:p w:rsidR="00AC5FCD" w:rsidRDefault="009C7753">
            <w:pPr>
              <w:numPr>
                <w:ilvl w:val="0"/>
                <w:numId w:val="11"/>
              </w:numPr>
              <w:ind w:left="15" w:hanging="528"/>
              <w:jc w:val="lef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 xml:space="preserve">WYNIK FINANSOWY NETTO 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95 625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64 600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65 900</w:t>
            </w:r>
          </w:p>
        </w:tc>
      </w:tr>
      <w:tr w:rsidR="00AC5FCD">
        <w:trPr>
          <w:trHeight w:val="300"/>
          <w:jc w:val="center"/>
        </w:trPr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FCD" w:rsidRDefault="009C7753">
            <w:pPr>
              <w:ind w:left="282" w:hanging="282"/>
              <w:jc w:val="lef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Wynik finansowy po dodaniu kosztów amortyzacji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1 337 425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1 724 520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C5FCD" w:rsidRDefault="009C7753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1 519 830</w:t>
            </w:r>
          </w:p>
        </w:tc>
      </w:tr>
    </w:tbl>
    <w:p w:rsidR="00AC5FCD" w:rsidRDefault="009C7753">
      <w:pPr>
        <w:spacing w:before="240" w:after="200" w:line="276" w:lineRule="auto"/>
        <w:jc w:val="left"/>
        <w:rPr>
          <w:b/>
          <w:color w:val="00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Informacja o istotnych zdarzeniach dla MCM „Górna” w Łodzi – prognoza na lata 2025-2027</w:t>
      </w:r>
    </w:p>
    <w:p w:rsidR="00AC5FCD" w:rsidRDefault="009C7753">
      <w:pPr>
        <w:spacing w:line="276" w:lineRule="auto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 xml:space="preserve">Prognoza na lata 2025-2027 MCM „Górna” w Łodzi zakłada utrzymanie działalności w zakresie działalności roku 2024, a od 2026 roku rozszerzenie działalności poprzez uruchomienie działalności Dziennego Domu Opieki Medycznej funkcjonującego przy ul. Odrzańskiej 29. </w:t>
      </w:r>
    </w:p>
    <w:p w:rsidR="00AC5FCD" w:rsidRDefault="009C7753">
      <w:pPr>
        <w:spacing w:line="276" w:lineRule="auto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Istotne zdarzenia mające wpływ na funkcjonowanie oraz prognozę działalności MCM „Górna” w Łodzi:</w:t>
      </w:r>
    </w:p>
    <w:p w:rsidR="00AC5FCD" w:rsidRDefault="009C7753">
      <w:pPr>
        <w:numPr>
          <w:ilvl w:val="0"/>
          <w:numId w:val="37"/>
        </w:numPr>
        <w:spacing w:line="276" w:lineRule="auto"/>
        <w:ind w:left="284" w:hanging="284"/>
        <w:jc w:val="both"/>
        <w:rPr>
          <w:szCs w:val="20"/>
          <w:lang w:eastAsia="en-US" w:bidi="ar-SA"/>
        </w:rPr>
      </w:pPr>
      <w:r>
        <w:rPr>
          <w:color w:val="000000"/>
          <w:szCs w:val="20"/>
          <w:lang w:eastAsia="en-US" w:bidi="ar-SA"/>
        </w:rPr>
        <w:lastRenderedPageBreak/>
        <w:t xml:space="preserve">zniesienie limitów przyjęć w ramach kontraktów z NFZ w ramach ambulatoryjnej opieki specjalistycznej pozwoli na większe wykorzystanie posiadanego personelu i sprzętu, natomiast pojawiąjąca się w już w 2024 r. i 2025 r. tendencja opóźniania zapłaty </w:t>
      </w:r>
      <w:r>
        <w:rPr>
          <w:szCs w:val="20"/>
          <w:lang w:eastAsia="en-US" w:bidi="ar-SA"/>
        </w:rPr>
        <w:t xml:space="preserve">za świadczenia nielimitowane, </w:t>
      </w:r>
      <w:r>
        <w:rPr>
          <w:color w:val="000000"/>
          <w:szCs w:val="20"/>
          <w:lang w:eastAsia="en-US" w:bidi="ar-SA"/>
        </w:rPr>
        <w:t>prowadzi do konieczności kredytowania państwa w zakresie opieki medycznej. Zapłata za nadwykonane świadczenia z IV kwartału 2024 r. nastąpiła w miesiąc kwietniu 2025r. W realizacji umów o udzielanie świadczeń opieki zdrowotnej w rodzaju ambulatoryjna opieka specjalistyczna wprowadzono modyfikację zasad finansowania świadczeń opieki ambulatoryjnej w zależności od osiągniętego przez świadczeniodawców poziomu układu procentowego świadczeń pierwszorazowych w danym zakresie. Konsekwencją nie osiągniętego wskaźnika będzie obniżenie o 25% wyceny punktowej świadczeń,</w:t>
      </w:r>
    </w:p>
    <w:p w:rsidR="00AC5FCD" w:rsidRDefault="009C7753">
      <w:pPr>
        <w:numPr>
          <w:ilvl w:val="0"/>
          <w:numId w:val="37"/>
        </w:numPr>
        <w:spacing w:line="276" w:lineRule="auto"/>
        <w:ind w:left="284" w:hanging="284"/>
        <w:jc w:val="both"/>
        <w:rPr>
          <w:szCs w:val="20"/>
          <w:lang w:eastAsia="en-US" w:bidi="ar-SA"/>
        </w:rPr>
      </w:pPr>
      <w:r>
        <w:rPr>
          <w:szCs w:val="20"/>
          <w:lang w:eastAsia="en-US" w:bidi="ar-SA"/>
        </w:rPr>
        <w:t>inwestycją, determinującą w najbliższych latach działalność MCM „Górna” w Łodzi będzie utworzenie i prowadzenie Dziennego Domu Opieki Medycznej (DDOM) w Przychodni przy ul. Odrzańskiej 29. Na 2025 r. przewidziane są prace modernizacyjne i remontowe oraz wyposażeniowe, natomiast od roku 2026 do 2029 DDOM ma funkcjonować i objąć opieką 300 podopiecznych. Będzie to pierwsza tego typu placówka w województwie łódzkim. Zarówno prace inwestycyjne, doposażeniowe oraz funkcjonowanie będzie sfinansowane ze środków Funduszy Europejskich dla Łódzkiego na lata 2021-2027 w ramach programu FELD.00.00,</w:t>
      </w:r>
    </w:p>
    <w:p w:rsidR="00AC5FCD" w:rsidRDefault="009C7753">
      <w:pPr>
        <w:numPr>
          <w:ilvl w:val="0"/>
          <w:numId w:val="37"/>
        </w:numPr>
        <w:spacing w:line="276" w:lineRule="auto"/>
        <w:ind w:left="284" w:hanging="284"/>
        <w:jc w:val="both"/>
        <w:rPr>
          <w:szCs w:val="20"/>
          <w:lang w:eastAsia="en-US" w:bidi="ar-SA"/>
        </w:rPr>
      </w:pPr>
      <w:r>
        <w:rPr>
          <w:szCs w:val="20"/>
          <w:lang w:eastAsia="en-US" w:bidi="ar-SA"/>
        </w:rPr>
        <w:t>w ramach środków pochodzących z Funduszy Europejskich na Infrastrukturę, Klimat, Środowisko 2021-2027(FEnIKS) pn. „Wsparcie podstawowej opieki zdrowotnej” MCM „Górna” w Łodzi podpisało umowę, która opiewa na</w:t>
      </w:r>
      <w:r>
        <w:rPr>
          <w:b/>
          <w:szCs w:val="20"/>
          <w:lang w:eastAsia="en-US" w:bidi="ar-SA"/>
        </w:rPr>
        <w:t xml:space="preserve"> </w:t>
      </w:r>
      <w:r>
        <w:rPr>
          <w:szCs w:val="20"/>
          <w:lang w:eastAsia="en-US" w:bidi="ar-SA"/>
        </w:rPr>
        <w:t>kwotę 600 tys. zł, pozwoli ona doposażyć podstawową opiekę zdrowotną w sprzęt medyczny i sprzęt informatyczny,</w:t>
      </w:r>
    </w:p>
    <w:p w:rsidR="00AC5FCD" w:rsidRDefault="009C7753">
      <w:pPr>
        <w:numPr>
          <w:ilvl w:val="0"/>
          <w:numId w:val="37"/>
        </w:numPr>
        <w:spacing w:line="276" w:lineRule="auto"/>
        <w:ind w:left="284" w:hanging="284"/>
        <w:jc w:val="both"/>
        <w:rPr>
          <w:szCs w:val="20"/>
          <w:lang w:eastAsia="en-US" w:bidi="ar-SA"/>
        </w:rPr>
      </w:pPr>
      <w:r>
        <w:rPr>
          <w:szCs w:val="20"/>
          <w:lang w:eastAsia="en-US" w:bidi="ar-SA"/>
        </w:rPr>
        <w:t>wyzwaniem finansowym będzie realizacja zapisów ustawy, która od 1 lipca 2025r. podnosi wynagrodzenia pracowników ochrony zdrowia,</w:t>
      </w:r>
    </w:p>
    <w:p w:rsidR="00AC5FCD" w:rsidRDefault="009C7753">
      <w:pPr>
        <w:numPr>
          <w:ilvl w:val="0"/>
          <w:numId w:val="37"/>
        </w:numPr>
        <w:spacing w:line="276" w:lineRule="auto"/>
        <w:ind w:left="284" w:hanging="284"/>
        <w:jc w:val="both"/>
        <w:rPr>
          <w:szCs w:val="20"/>
          <w:lang w:eastAsia="en-US" w:bidi="ar-SA"/>
        </w:rPr>
      </w:pPr>
      <w:r>
        <w:rPr>
          <w:szCs w:val="20"/>
          <w:lang w:eastAsia="en-US" w:bidi="ar-SA"/>
        </w:rPr>
        <w:t xml:space="preserve"> w ramach świadczeń gwarantowanych w podstawowej opiece zdrowotnej obecnie realizowany jest nowy kompleksowy program profilaktyczny „M</w:t>
      </w:r>
      <w:r>
        <w:rPr>
          <w:szCs w:val="20"/>
        </w:rPr>
        <w:t>oje</w:t>
      </w:r>
      <w:r>
        <w:rPr>
          <w:szCs w:val="20"/>
          <w:lang w:eastAsia="en-US" w:bidi="ar-SA"/>
        </w:rPr>
        <w:t xml:space="preserve"> Z</w:t>
      </w:r>
      <w:r>
        <w:rPr>
          <w:szCs w:val="20"/>
        </w:rPr>
        <w:t>drowie</w:t>
      </w:r>
      <w:r>
        <w:rPr>
          <w:szCs w:val="20"/>
          <w:lang w:eastAsia="en-US" w:bidi="ar-SA"/>
        </w:rPr>
        <w:t>” bilans zdrowia  osoby dorosłej; który to program zastąpi program „Profilaktyka 40 PLUS”,</w:t>
      </w:r>
    </w:p>
    <w:p w:rsidR="00AC5FCD" w:rsidRDefault="009C7753">
      <w:pPr>
        <w:numPr>
          <w:ilvl w:val="0"/>
          <w:numId w:val="37"/>
        </w:numPr>
        <w:spacing w:line="276" w:lineRule="auto"/>
        <w:ind w:left="284" w:hanging="284"/>
        <w:jc w:val="both"/>
        <w:rPr>
          <w:szCs w:val="20"/>
          <w:lang w:eastAsia="en-US" w:bidi="ar-SA"/>
        </w:rPr>
      </w:pPr>
      <w:r>
        <w:rPr>
          <w:szCs w:val="20"/>
          <w:lang w:eastAsia="en-US" w:bidi="ar-SA"/>
        </w:rPr>
        <w:t>pozyskanie dofinansowania dla zakupu aparatu RTG do przychodni przy ul. Tatrzańskiej 109 i zakup nowego aparatu densytometrycznego. Wniosek o dofinansowanie został złożony w ramach programu Fundusze Europejskie dla Łódzkiego na lata 2021-2027. Działanie FELD.06.03. Infrastruktura zdrowotna. Dofinasowanie stanowi 95% i 5% to środki własne,</w:t>
      </w:r>
    </w:p>
    <w:p w:rsidR="00AC5FCD" w:rsidRDefault="009C7753">
      <w:pPr>
        <w:numPr>
          <w:ilvl w:val="0"/>
          <w:numId w:val="37"/>
        </w:numPr>
        <w:spacing w:line="276" w:lineRule="auto"/>
        <w:ind w:left="284" w:hanging="284"/>
        <w:jc w:val="both"/>
        <w:rPr>
          <w:szCs w:val="20"/>
          <w:lang w:eastAsia="en-US" w:bidi="ar-SA"/>
        </w:rPr>
      </w:pPr>
      <w:r>
        <w:rPr>
          <w:szCs w:val="20"/>
          <w:lang w:eastAsia="en-US" w:bidi="ar-SA"/>
        </w:rPr>
        <w:t xml:space="preserve">pozyskanie dofinansowania na wykonanie mikro instalacji fotowoltaicznych z akumulatorowymi magazynami energii oraz pracami towarzyszącymi w budynkach MCM Górna „Górna” w Łodzi, przy ul. Tatrzańskiej 109 i ul. Rzgowskiej 170. Na dzień składania raportu zapadła decyzja Zarządu WFOŚiGWw Łodzi w kwestii przyznania jednostce dotacji w wysokości do 420.500 zł. </w:t>
      </w:r>
    </w:p>
    <w:p w:rsidR="00AC5FCD" w:rsidRDefault="00AC5FCD">
      <w:pPr>
        <w:spacing w:line="276" w:lineRule="auto"/>
        <w:jc w:val="both"/>
        <w:rPr>
          <w:color w:val="000000"/>
          <w:szCs w:val="20"/>
          <w:shd w:val="clear" w:color="auto" w:fill="FFFFFF"/>
          <w:lang w:eastAsia="en-US" w:bidi="ar-SA"/>
        </w:rPr>
      </w:pPr>
    </w:p>
    <w:p w:rsidR="00AC5FCD" w:rsidRDefault="009C7753">
      <w:pPr>
        <w:shd w:val="clear" w:color="auto" w:fill="FFFFFF"/>
        <w:spacing w:line="276" w:lineRule="auto"/>
        <w:jc w:val="both"/>
        <w:rPr>
          <w:szCs w:val="20"/>
          <w:lang w:eastAsia="en-US" w:bidi="ar-SA"/>
        </w:rPr>
      </w:pPr>
      <w:r>
        <w:rPr>
          <w:b/>
          <w:szCs w:val="20"/>
          <w:lang w:eastAsia="en-US" w:bidi="ar-SA"/>
        </w:rPr>
        <w:t>Podsumowanie</w:t>
      </w:r>
    </w:p>
    <w:p w:rsidR="00AC5FCD" w:rsidRDefault="009C7753">
      <w:pPr>
        <w:spacing w:line="276" w:lineRule="auto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Na podstawie raportu o sytuacji ekonomiczno-finansowej MCM „Górna” w Łodzi za 2024 rok, funkcjonującego jako samodzielny publiczny zakład opieki zdrowotnej należy stwierdzić, że:</w:t>
      </w:r>
    </w:p>
    <w:p w:rsidR="00AC5FCD" w:rsidRDefault="009C7753">
      <w:pPr>
        <w:numPr>
          <w:ilvl w:val="0"/>
          <w:numId w:val="38"/>
        </w:numPr>
        <w:spacing w:before="240" w:line="276" w:lineRule="auto"/>
        <w:ind w:hanging="501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lastRenderedPageBreak/>
        <w:t xml:space="preserve">ocena dokonana na podstawie wskaźników ekonomiczno-finansowych 2024 roku </w:t>
      </w:r>
      <w:r>
        <w:rPr>
          <w:color w:val="000000"/>
          <w:szCs w:val="20"/>
          <w:shd w:val="clear" w:color="auto" w:fill="FFFFFF"/>
          <w:lang w:eastAsia="en-US" w:bidi="ar-SA"/>
        </w:rPr>
        <w:br/>
        <w:t>oraz prognozy na lata 2025-2027 jest pozytywna;</w:t>
      </w:r>
    </w:p>
    <w:p w:rsidR="00AC5FCD" w:rsidRDefault="009C7753">
      <w:pPr>
        <w:numPr>
          <w:ilvl w:val="0"/>
          <w:numId w:val="38"/>
        </w:numPr>
        <w:spacing w:line="276" w:lineRule="auto"/>
        <w:ind w:hanging="501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 xml:space="preserve">podmiot posiada stabilną sytuację finansową oraz nie przewiduje problemów </w:t>
      </w:r>
      <w:r>
        <w:rPr>
          <w:color w:val="000000"/>
          <w:szCs w:val="20"/>
          <w:shd w:val="clear" w:color="auto" w:fill="FFFFFF"/>
          <w:lang w:eastAsia="en-US" w:bidi="ar-SA"/>
        </w:rPr>
        <w:br/>
        <w:t xml:space="preserve">z płynnością oraz rotacją swoich zobowiązań i należności; </w:t>
      </w:r>
    </w:p>
    <w:p w:rsidR="00AC5FCD" w:rsidRDefault="009C7753">
      <w:pPr>
        <w:numPr>
          <w:ilvl w:val="0"/>
          <w:numId w:val="38"/>
        </w:numPr>
        <w:spacing w:line="276" w:lineRule="auto"/>
        <w:ind w:hanging="501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przedstawiona w raporcie ostrożna analiza wskaźników dla prognozowanego okresu jest rezultatem podjętych i podejmowanych działań oraz przyjęcia założeń umożliwiających dalsze prowadzenie działalności i jej rozwój.</w:t>
      </w:r>
    </w:p>
    <w:p w:rsidR="00AC5FCD" w:rsidRDefault="009C7753">
      <w:pPr>
        <w:spacing w:before="240" w:line="276" w:lineRule="auto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W związku z powyższym dokonuje się pozytywnej oceny sytuacji ekonomiczno-finansowej MCM „Górna” w Łodzi na podstawie przedstawionego przez jednostkę raportu o sytuacji ekonomiczno-finansowej za 2024 rok.</w:t>
      </w:r>
    </w:p>
    <w:p w:rsidR="00AC5FCD" w:rsidRDefault="009C7753">
      <w:pPr>
        <w:spacing w:before="120" w:after="120"/>
        <w:ind w:left="283" w:firstLine="227"/>
        <w:jc w:val="both"/>
        <w:rPr>
          <w:color w:val="000000"/>
          <w:szCs w:val="20"/>
          <w:u w:color="000000"/>
        </w:rPr>
        <w:sectPr w:rsidR="00AC5FCD">
          <w:footerReference w:type="default" r:id="rId8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r>
        <w:rPr>
          <w:color w:val="000000"/>
          <w:szCs w:val="20"/>
          <w:u w:color="000000"/>
        </w:rPr>
        <w:fldChar w:fldCharType="begin"/>
      </w:r>
      <w:r>
        <w:rPr>
          <w:color w:val="000000"/>
          <w:szCs w:val="20"/>
          <w:u w:color="000000"/>
        </w:rPr>
        <w:fldChar w:fldCharType="end"/>
      </w:r>
    </w:p>
    <w:p w:rsidR="00AC5FCD" w:rsidRDefault="00AC5FCD">
      <w:pPr>
        <w:rPr>
          <w:szCs w:val="20"/>
        </w:rPr>
      </w:pPr>
    </w:p>
    <w:p w:rsidR="00AC5FCD" w:rsidRDefault="009C7753">
      <w:pPr>
        <w:rPr>
          <w:b/>
          <w:szCs w:val="20"/>
        </w:rPr>
      </w:pPr>
      <w:r>
        <w:rPr>
          <w:b/>
          <w:szCs w:val="20"/>
        </w:rPr>
        <w:t>UZASADNIENIE</w:t>
      </w:r>
    </w:p>
    <w:p w:rsidR="00AC5FCD" w:rsidRDefault="00AC5FCD">
      <w:pPr>
        <w:rPr>
          <w:szCs w:val="20"/>
        </w:rPr>
      </w:pPr>
    </w:p>
    <w:p w:rsidR="00AC5FCD" w:rsidRDefault="009C7753">
      <w:pPr>
        <w:ind w:firstLine="567"/>
        <w:jc w:val="both"/>
        <w:rPr>
          <w:szCs w:val="20"/>
        </w:rPr>
      </w:pPr>
      <w:r>
        <w:rPr>
          <w:szCs w:val="20"/>
        </w:rPr>
        <w:t xml:space="preserve">Zgodnie z wymogami art. 53a ustawy </w:t>
      </w:r>
      <w:r>
        <w:rPr>
          <w:color w:val="000000"/>
          <w:szCs w:val="20"/>
          <w:u w:color="000000"/>
        </w:rPr>
        <w:t>z dnia 15 kwietnia 2011 r.</w:t>
      </w:r>
      <w:r>
        <w:rPr>
          <w:szCs w:val="20"/>
        </w:rPr>
        <w:t xml:space="preserve"> o działalności leczniczej samodzielny publiczny zakład opieki zdrowotnej o nazwie Miejskie Centrum Medyczne „Górna” w Łodzi przedstawiło w wymaganym terminie raport o sytuacji ekonomiczno-finansowej przygotowany na podstawie sprawozdania finansowego za poprzedni rok obrotowy zawierający w szczególności analizę sytuacji ekonomiczno-finansowej za poprzedni rok obrotowy, tj. 2024, a także prognozę sytuacji ekonomiczno-finansowej na kolejne trzy lata obrotowe wraz z opisem przyjętych założeń oraz informację o istotnych zdarzeniach mających wpływ na sytuację ekonomiczno-finansową samodzielnego publicznego zakładu opieki zdrowotnej.</w:t>
      </w:r>
    </w:p>
    <w:p w:rsidR="00AC5FCD" w:rsidRDefault="009C7753">
      <w:pPr>
        <w:spacing w:before="120" w:after="120"/>
        <w:ind w:firstLine="570"/>
        <w:jc w:val="both"/>
        <w:rPr>
          <w:color w:val="000000"/>
          <w:szCs w:val="20"/>
        </w:rPr>
      </w:pPr>
      <w:r>
        <w:rPr>
          <w:color w:val="000000"/>
          <w:szCs w:val="20"/>
          <w:u w:color="000000"/>
        </w:rPr>
        <w:t xml:space="preserve">Przedmiotowa ocena raportu </w:t>
      </w:r>
      <w:r>
        <w:rPr>
          <w:szCs w:val="20"/>
        </w:rPr>
        <w:t>o sytuacji ekonomiczno-finansowej</w:t>
      </w:r>
      <w:r>
        <w:rPr>
          <w:color w:val="000000"/>
          <w:szCs w:val="20"/>
          <w:u w:color="000000"/>
        </w:rPr>
        <w:t xml:space="preserve"> została przygotowana zgodnie z wymogami  ustawy z dnia 15 kwietnia 2011 r. o działalności leczniczej  przez komórkę organizacyjną sprawującą bezpośredni nadzór nad samodzielnymi publicznymi zakładami opieki zdrowotnej dla których podmiotem tworzącym jest Miasto Łódź, tj. Wydział Zdrowia i Spraw Społecznych w Departamencie Zdrowia, Sportu i Spraw Społecznych Urzędu Miasta Łodzi.</w:t>
      </w:r>
    </w:p>
    <w:p w:rsidR="00AC5FCD" w:rsidRDefault="009C7753">
      <w:pPr>
        <w:ind w:firstLine="567"/>
        <w:jc w:val="both"/>
        <w:rPr>
          <w:szCs w:val="20"/>
        </w:rPr>
      </w:pPr>
      <w:r>
        <w:rPr>
          <w:szCs w:val="20"/>
        </w:rPr>
        <w:t xml:space="preserve">Ocena sytuacji ekonomiczno-finansowej jednostki należy do kompetencji Rady Miejskiej w Łodzi, tj. podmiotu tworzącego dla </w:t>
      </w:r>
      <w:r>
        <w:rPr>
          <w:color w:val="000000"/>
          <w:szCs w:val="20"/>
          <w:u w:color="000000"/>
        </w:rPr>
        <w:t xml:space="preserve">Miejskiego Centrum Medycznego </w:t>
      </w:r>
      <w:r>
        <w:rPr>
          <w:szCs w:val="20"/>
        </w:rPr>
        <w:t>„Górna” w Łodzi, co stanowi przedmiot niniejszego projektu uchwały.</w:t>
      </w:r>
    </w:p>
    <w:p w:rsidR="00AC5FCD" w:rsidRDefault="00AC5FCD">
      <w:pPr>
        <w:spacing w:before="120" w:after="120"/>
        <w:ind w:left="283" w:firstLine="227"/>
        <w:jc w:val="both"/>
        <w:rPr>
          <w:color w:val="000000"/>
          <w:szCs w:val="20"/>
        </w:rPr>
      </w:pPr>
    </w:p>
    <w:p w:rsidR="00AC5FCD" w:rsidRDefault="00AC5FCD">
      <w:pPr>
        <w:spacing w:before="120" w:after="120"/>
        <w:ind w:left="283" w:firstLine="227"/>
        <w:jc w:val="both"/>
        <w:rPr>
          <w:color w:val="000000"/>
          <w:szCs w:val="20"/>
        </w:rPr>
      </w:pPr>
    </w:p>
    <w:p w:rsidR="00AC5FCD" w:rsidRDefault="00AC5FCD">
      <w:pPr>
        <w:spacing w:before="120" w:after="120"/>
        <w:ind w:left="283" w:firstLine="227"/>
        <w:jc w:val="both"/>
        <w:rPr>
          <w:color w:val="000000"/>
          <w:szCs w:val="20"/>
          <w:u w:color="000000"/>
        </w:rPr>
      </w:pPr>
    </w:p>
    <w:sectPr w:rsidR="00AC5FCD"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F90" w:rsidRDefault="005C6F90">
      <w:r>
        <w:separator/>
      </w:r>
    </w:p>
  </w:endnote>
  <w:endnote w:type="continuationSeparator" w:id="0">
    <w:p w:rsidR="005C6F90" w:rsidRDefault="005C6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AC5FCD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C5FCD" w:rsidRDefault="009C7753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C5FCD" w:rsidRDefault="009C775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9575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C5FCD" w:rsidRDefault="00AC5FC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AC5FCD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C5FCD" w:rsidRDefault="009C7753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C5FCD" w:rsidRDefault="009C775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9575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C5FCD" w:rsidRDefault="00AC5FCD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AC5FCD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C5FCD" w:rsidRDefault="009C7753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C5FCD" w:rsidRDefault="009C775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95752">
            <w:rPr>
              <w:noProof/>
              <w:sz w:val="18"/>
            </w:rPr>
            <w:t>19</w:t>
          </w:r>
          <w:r>
            <w:rPr>
              <w:sz w:val="18"/>
            </w:rPr>
            <w:fldChar w:fldCharType="end"/>
          </w:r>
        </w:p>
      </w:tc>
    </w:tr>
  </w:tbl>
  <w:p w:rsidR="00AC5FCD" w:rsidRDefault="00AC5FC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F90" w:rsidRDefault="005C6F90">
      <w:r>
        <w:separator/>
      </w:r>
    </w:p>
  </w:footnote>
  <w:footnote w:type="continuationSeparator" w:id="0">
    <w:p w:rsidR="005C6F90" w:rsidRDefault="005C6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0299"/>
    <w:multiLevelType w:val="hybridMultilevel"/>
    <w:tmpl w:val="00000000"/>
    <w:lvl w:ilvl="0" w:tplc="AB22DB52">
      <w:start w:val="1"/>
      <w:numFmt w:val="lowerLetter"/>
      <w:lvlText w:val="%1)"/>
      <w:lvlJc w:val="left"/>
      <w:pPr>
        <w:ind w:left="1146" w:hanging="360"/>
      </w:pPr>
    </w:lvl>
    <w:lvl w:ilvl="1" w:tplc="921A54A6">
      <w:start w:val="1"/>
      <w:numFmt w:val="lowerLetter"/>
      <w:lvlText w:val="%2."/>
      <w:lvlJc w:val="left"/>
      <w:pPr>
        <w:ind w:left="1866" w:hanging="360"/>
      </w:pPr>
    </w:lvl>
    <w:lvl w:ilvl="2" w:tplc="F7647352">
      <w:start w:val="1"/>
      <w:numFmt w:val="lowerRoman"/>
      <w:lvlText w:val="%3."/>
      <w:lvlJc w:val="right"/>
      <w:pPr>
        <w:ind w:left="2586" w:hanging="180"/>
      </w:pPr>
    </w:lvl>
    <w:lvl w:ilvl="3" w:tplc="7B063184">
      <w:start w:val="1"/>
      <w:numFmt w:val="decimal"/>
      <w:lvlText w:val="%4."/>
      <w:lvlJc w:val="left"/>
      <w:pPr>
        <w:ind w:left="3306" w:hanging="360"/>
      </w:pPr>
    </w:lvl>
    <w:lvl w:ilvl="4" w:tplc="DDF20AFC">
      <w:start w:val="1"/>
      <w:numFmt w:val="lowerLetter"/>
      <w:lvlText w:val="%5."/>
      <w:lvlJc w:val="left"/>
      <w:pPr>
        <w:ind w:left="4026" w:hanging="360"/>
      </w:pPr>
    </w:lvl>
    <w:lvl w:ilvl="5" w:tplc="D80841B6">
      <w:start w:val="1"/>
      <w:numFmt w:val="lowerRoman"/>
      <w:lvlText w:val="%6."/>
      <w:lvlJc w:val="right"/>
      <w:pPr>
        <w:ind w:left="4746" w:hanging="180"/>
      </w:pPr>
    </w:lvl>
    <w:lvl w:ilvl="6" w:tplc="76C84756">
      <w:start w:val="1"/>
      <w:numFmt w:val="decimal"/>
      <w:lvlText w:val="%7."/>
      <w:lvlJc w:val="left"/>
      <w:pPr>
        <w:ind w:left="5466" w:hanging="360"/>
      </w:pPr>
    </w:lvl>
    <w:lvl w:ilvl="7" w:tplc="462A3DF2">
      <w:start w:val="1"/>
      <w:numFmt w:val="lowerLetter"/>
      <w:lvlText w:val="%8."/>
      <w:lvlJc w:val="left"/>
      <w:pPr>
        <w:ind w:left="6186" w:hanging="360"/>
      </w:pPr>
    </w:lvl>
    <w:lvl w:ilvl="8" w:tplc="E8A468BA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8661ED"/>
    <w:multiLevelType w:val="hybridMultilevel"/>
    <w:tmpl w:val="00000000"/>
    <w:lvl w:ilvl="0" w:tplc="4E3A64CE">
      <w:start w:val="1"/>
      <w:numFmt w:val="lowerLetter"/>
      <w:lvlText w:val="%1."/>
      <w:lvlJc w:val="left"/>
      <w:pPr>
        <w:ind w:left="631" w:hanging="360"/>
      </w:pPr>
    </w:lvl>
    <w:lvl w:ilvl="1" w:tplc="C1FED73A">
      <w:start w:val="1"/>
      <w:numFmt w:val="lowerLetter"/>
      <w:lvlText w:val="%2."/>
      <w:lvlJc w:val="left"/>
      <w:pPr>
        <w:ind w:left="1351" w:hanging="360"/>
      </w:pPr>
    </w:lvl>
    <w:lvl w:ilvl="2" w:tplc="6C80F204">
      <w:start w:val="1"/>
      <w:numFmt w:val="lowerRoman"/>
      <w:lvlText w:val="%3."/>
      <w:lvlJc w:val="right"/>
      <w:pPr>
        <w:ind w:left="2071" w:hanging="180"/>
      </w:pPr>
    </w:lvl>
    <w:lvl w:ilvl="3" w:tplc="3EB030D0">
      <w:start w:val="1"/>
      <w:numFmt w:val="decimal"/>
      <w:lvlText w:val="%4."/>
      <w:lvlJc w:val="left"/>
      <w:pPr>
        <w:ind w:left="2791" w:hanging="360"/>
      </w:pPr>
    </w:lvl>
    <w:lvl w:ilvl="4" w:tplc="EB4EC148">
      <w:start w:val="1"/>
      <w:numFmt w:val="lowerLetter"/>
      <w:lvlText w:val="%5."/>
      <w:lvlJc w:val="left"/>
      <w:pPr>
        <w:ind w:left="3511" w:hanging="360"/>
      </w:pPr>
    </w:lvl>
    <w:lvl w:ilvl="5" w:tplc="A260B750">
      <w:start w:val="1"/>
      <w:numFmt w:val="lowerRoman"/>
      <w:lvlText w:val="%6."/>
      <w:lvlJc w:val="right"/>
      <w:pPr>
        <w:ind w:left="4231" w:hanging="180"/>
      </w:pPr>
    </w:lvl>
    <w:lvl w:ilvl="6" w:tplc="01E4D6BA">
      <w:start w:val="1"/>
      <w:numFmt w:val="decimal"/>
      <w:lvlText w:val="%7."/>
      <w:lvlJc w:val="left"/>
      <w:pPr>
        <w:ind w:left="4951" w:hanging="360"/>
      </w:pPr>
    </w:lvl>
    <w:lvl w:ilvl="7" w:tplc="4B964E0A">
      <w:start w:val="1"/>
      <w:numFmt w:val="lowerLetter"/>
      <w:lvlText w:val="%8."/>
      <w:lvlJc w:val="left"/>
      <w:pPr>
        <w:ind w:left="5671" w:hanging="360"/>
      </w:pPr>
    </w:lvl>
    <w:lvl w:ilvl="8" w:tplc="57081FC0">
      <w:start w:val="1"/>
      <w:numFmt w:val="lowerRoman"/>
      <w:lvlText w:val="%9."/>
      <w:lvlJc w:val="right"/>
      <w:pPr>
        <w:ind w:left="6391" w:hanging="180"/>
      </w:pPr>
    </w:lvl>
  </w:abstractNum>
  <w:abstractNum w:abstractNumId="2" w15:restartNumberingAfterBreak="0">
    <w:nsid w:val="0E7C5445"/>
    <w:multiLevelType w:val="hybridMultilevel"/>
    <w:tmpl w:val="00000000"/>
    <w:lvl w:ilvl="0" w:tplc="CC9AC6D8">
      <w:start w:val="1"/>
      <w:numFmt w:val="lowerLetter"/>
      <w:lvlText w:val="%1."/>
      <w:lvlJc w:val="left"/>
      <w:pPr>
        <w:ind w:left="720" w:hanging="360"/>
      </w:pPr>
    </w:lvl>
    <w:lvl w:ilvl="1" w:tplc="FB86CB18">
      <w:start w:val="1"/>
      <w:numFmt w:val="lowerLetter"/>
      <w:lvlText w:val="%2."/>
      <w:lvlJc w:val="left"/>
      <w:pPr>
        <w:ind w:left="1440" w:hanging="360"/>
      </w:pPr>
    </w:lvl>
    <w:lvl w:ilvl="2" w:tplc="CB20132E">
      <w:start w:val="1"/>
      <w:numFmt w:val="lowerRoman"/>
      <w:lvlText w:val="%3."/>
      <w:lvlJc w:val="right"/>
      <w:pPr>
        <w:ind w:left="2160" w:hanging="180"/>
      </w:pPr>
    </w:lvl>
    <w:lvl w:ilvl="3" w:tplc="1E68F9FE">
      <w:start w:val="1"/>
      <w:numFmt w:val="decimal"/>
      <w:lvlText w:val="%4."/>
      <w:lvlJc w:val="left"/>
      <w:pPr>
        <w:ind w:left="2880" w:hanging="360"/>
      </w:pPr>
    </w:lvl>
    <w:lvl w:ilvl="4" w:tplc="0F98A2AE">
      <w:start w:val="1"/>
      <w:numFmt w:val="lowerLetter"/>
      <w:lvlText w:val="%5."/>
      <w:lvlJc w:val="left"/>
      <w:pPr>
        <w:ind w:left="3600" w:hanging="360"/>
      </w:pPr>
    </w:lvl>
    <w:lvl w:ilvl="5" w:tplc="83420C44">
      <w:start w:val="1"/>
      <w:numFmt w:val="lowerRoman"/>
      <w:lvlText w:val="%6."/>
      <w:lvlJc w:val="right"/>
      <w:pPr>
        <w:ind w:left="4320" w:hanging="180"/>
      </w:pPr>
    </w:lvl>
    <w:lvl w:ilvl="6" w:tplc="FB6ACF8C">
      <w:start w:val="1"/>
      <w:numFmt w:val="decimal"/>
      <w:lvlText w:val="%7."/>
      <w:lvlJc w:val="left"/>
      <w:pPr>
        <w:ind w:left="5040" w:hanging="360"/>
      </w:pPr>
    </w:lvl>
    <w:lvl w:ilvl="7" w:tplc="A68822A8">
      <w:start w:val="1"/>
      <w:numFmt w:val="lowerLetter"/>
      <w:lvlText w:val="%8."/>
      <w:lvlJc w:val="left"/>
      <w:pPr>
        <w:ind w:left="5760" w:hanging="360"/>
      </w:pPr>
    </w:lvl>
    <w:lvl w:ilvl="8" w:tplc="E5E0682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76B2E"/>
    <w:multiLevelType w:val="hybridMultilevel"/>
    <w:tmpl w:val="00000000"/>
    <w:lvl w:ilvl="0" w:tplc="B57262CC">
      <w:start w:val="1"/>
      <w:numFmt w:val="lowerLetter"/>
      <w:lvlText w:val="%1."/>
      <w:lvlJc w:val="left"/>
      <w:pPr>
        <w:ind w:left="720" w:hanging="360"/>
      </w:pPr>
    </w:lvl>
    <w:lvl w:ilvl="1" w:tplc="BF7A2DF2">
      <w:start w:val="1"/>
      <w:numFmt w:val="lowerLetter"/>
      <w:lvlText w:val="%2."/>
      <w:lvlJc w:val="left"/>
      <w:pPr>
        <w:ind w:left="1440" w:hanging="360"/>
      </w:pPr>
    </w:lvl>
    <w:lvl w:ilvl="2" w:tplc="F63E6A56">
      <w:start w:val="1"/>
      <w:numFmt w:val="lowerRoman"/>
      <w:lvlText w:val="%3."/>
      <w:lvlJc w:val="right"/>
      <w:pPr>
        <w:ind w:left="2160" w:hanging="180"/>
      </w:pPr>
    </w:lvl>
    <w:lvl w:ilvl="3" w:tplc="F7F0560A">
      <w:start w:val="1"/>
      <w:numFmt w:val="decimal"/>
      <w:lvlText w:val="%4."/>
      <w:lvlJc w:val="left"/>
      <w:pPr>
        <w:ind w:left="2880" w:hanging="360"/>
      </w:pPr>
    </w:lvl>
    <w:lvl w:ilvl="4" w:tplc="256856E0">
      <w:start w:val="1"/>
      <w:numFmt w:val="lowerLetter"/>
      <w:lvlText w:val="%5."/>
      <w:lvlJc w:val="left"/>
      <w:pPr>
        <w:ind w:left="3600" w:hanging="360"/>
      </w:pPr>
    </w:lvl>
    <w:lvl w:ilvl="5" w:tplc="375625FA">
      <w:start w:val="1"/>
      <w:numFmt w:val="lowerRoman"/>
      <w:lvlText w:val="%6."/>
      <w:lvlJc w:val="right"/>
      <w:pPr>
        <w:ind w:left="4320" w:hanging="180"/>
      </w:pPr>
    </w:lvl>
    <w:lvl w:ilvl="6" w:tplc="2A8223E8">
      <w:start w:val="1"/>
      <w:numFmt w:val="decimal"/>
      <w:lvlText w:val="%7."/>
      <w:lvlJc w:val="left"/>
      <w:pPr>
        <w:ind w:left="5040" w:hanging="360"/>
      </w:pPr>
    </w:lvl>
    <w:lvl w:ilvl="7" w:tplc="F99C7530">
      <w:start w:val="1"/>
      <w:numFmt w:val="lowerLetter"/>
      <w:lvlText w:val="%8."/>
      <w:lvlJc w:val="left"/>
      <w:pPr>
        <w:ind w:left="5760" w:hanging="360"/>
      </w:pPr>
    </w:lvl>
    <w:lvl w:ilvl="8" w:tplc="41E454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94692"/>
    <w:multiLevelType w:val="hybridMultilevel"/>
    <w:tmpl w:val="00000000"/>
    <w:lvl w:ilvl="0" w:tplc="F9025908">
      <w:start w:val="1"/>
      <w:numFmt w:val="lowerLetter"/>
      <w:lvlText w:val="%1."/>
      <w:lvlJc w:val="left"/>
      <w:pPr>
        <w:ind w:left="720" w:hanging="360"/>
      </w:pPr>
    </w:lvl>
    <w:lvl w:ilvl="1" w:tplc="0A9C5044">
      <w:start w:val="1"/>
      <w:numFmt w:val="lowerLetter"/>
      <w:lvlText w:val="%2."/>
      <w:lvlJc w:val="left"/>
      <w:pPr>
        <w:ind w:left="1440" w:hanging="360"/>
      </w:pPr>
    </w:lvl>
    <w:lvl w:ilvl="2" w:tplc="995852C0">
      <w:start w:val="1"/>
      <w:numFmt w:val="lowerRoman"/>
      <w:lvlText w:val="%3."/>
      <w:lvlJc w:val="right"/>
      <w:pPr>
        <w:ind w:left="2160" w:hanging="180"/>
      </w:pPr>
    </w:lvl>
    <w:lvl w:ilvl="3" w:tplc="ED5EB23A">
      <w:start w:val="1"/>
      <w:numFmt w:val="decimal"/>
      <w:lvlText w:val="%4."/>
      <w:lvlJc w:val="left"/>
      <w:pPr>
        <w:ind w:left="2880" w:hanging="360"/>
      </w:pPr>
    </w:lvl>
    <w:lvl w:ilvl="4" w:tplc="E17AAA9C">
      <w:start w:val="1"/>
      <w:numFmt w:val="lowerLetter"/>
      <w:lvlText w:val="%5."/>
      <w:lvlJc w:val="left"/>
      <w:pPr>
        <w:ind w:left="3600" w:hanging="360"/>
      </w:pPr>
    </w:lvl>
    <w:lvl w:ilvl="5" w:tplc="D3F4C248">
      <w:start w:val="1"/>
      <w:numFmt w:val="lowerRoman"/>
      <w:lvlText w:val="%6."/>
      <w:lvlJc w:val="right"/>
      <w:pPr>
        <w:ind w:left="4320" w:hanging="180"/>
      </w:pPr>
    </w:lvl>
    <w:lvl w:ilvl="6" w:tplc="E8F2221A">
      <w:start w:val="1"/>
      <w:numFmt w:val="decimal"/>
      <w:lvlText w:val="%7."/>
      <w:lvlJc w:val="left"/>
      <w:pPr>
        <w:ind w:left="5040" w:hanging="360"/>
      </w:pPr>
    </w:lvl>
    <w:lvl w:ilvl="7" w:tplc="B2E45EA8">
      <w:start w:val="1"/>
      <w:numFmt w:val="lowerLetter"/>
      <w:lvlText w:val="%8."/>
      <w:lvlJc w:val="left"/>
      <w:pPr>
        <w:ind w:left="5760" w:hanging="360"/>
      </w:pPr>
    </w:lvl>
    <w:lvl w:ilvl="8" w:tplc="E644737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A65E5"/>
    <w:multiLevelType w:val="hybridMultilevel"/>
    <w:tmpl w:val="00000000"/>
    <w:lvl w:ilvl="0" w:tplc="970AC304">
      <w:start w:val="1"/>
      <w:numFmt w:val="decimal"/>
      <w:lvlText w:val="%1)"/>
      <w:lvlJc w:val="left"/>
      <w:pPr>
        <w:ind w:left="502" w:hanging="360"/>
      </w:pPr>
    </w:lvl>
    <w:lvl w:ilvl="1" w:tplc="F860088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2CA1DB0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73749F76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E47AAE1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2105B16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CC54574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7F43F1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5BC943C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4BC2182"/>
    <w:multiLevelType w:val="hybridMultilevel"/>
    <w:tmpl w:val="00000000"/>
    <w:lvl w:ilvl="0" w:tplc="3328DB14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4F7CDC4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E7027F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264C4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CA4264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38E6AD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B203C0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3EA762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078C9C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5E222FE"/>
    <w:multiLevelType w:val="hybridMultilevel"/>
    <w:tmpl w:val="00000000"/>
    <w:lvl w:ilvl="0" w:tplc="3D509DB6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B6E6403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7FCD31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E34C3A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27874B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FD0129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BF47B0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31A4D5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DA63E5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90E64BE"/>
    <w:multiLevelType w:val="hybridMultilevel"/>
    <w:tmpl w:val="00000000"/>
    <w:lvl w:ilvl="0" w:tplc="EC6ED7D8">
      <w:start w:val="1"/>
      <w:numFmt w:val="upperRoman"/>
      <w:lvlText w:val="%1."/>
      <w:lvlJc w:val="left"/>
      <w:pPr>
        <w:ind w:left="1080" w:hanging="720"/>
      </w:pPr>
    </w:lvl>
    <w:lvl w:ilvl="1" w:tplc="2F1E160A">
      <w:start w:val="1"/>
      <w:numFmt w:val="lowerLetter"/>
      <w:lvlText w:val="%2."/>
      <w:lvlJc w:val="left"/>
      <w:pPr>
        <w:ind w:left="1440" w:hanging="360"/>
      </w:pPr>
    </w:lvl>
    <w:lvl w:ilvl="2" w:tplc="0112519A">
      <w:start w:val="1"/>
      <w:numFmt w:val="lowerRoman"/>
      <w:lvlText w:val="%3."/>
      <w:lvlJc w:val="right"/>
      <w:pPr>
        <w:ind w:left="2160" w:hanging="180"/>
      </w:pPr>
    </w:lvl>
    <w:lvl w:ilvl="3" w:tplc="E4645A5A">
      <w:start w:val="1"/>
      <w:numFmt w:val="decimal"/>
      <w:lvlText w:val="%4."/>
      <w:lvlJc w:val="left"/>
      <w:pPr>
        <w:ind w:left="2880" w:hanging="360"/>
      </w:pPr>
    </w:lvl>
    <w:lvl w:ilvl="4" w:tplc="9BE2A02E">
      <w:start w:val="1"/>
      <w:numFmt w:val="lowerLetter"/>
      <w:lvlText w:val="%5."/>
      <w:lvlJc w:val="left"/>
      <w:pPr>
        <w:ind w:left="3600" w:hanging="360"/>
      </w:pPr>
    </w:lvl>
    <w:lvl w:ilvl="5" w:tplc="87623396">
      <w:start w:val="1"/>
      <w:numFmt w:val="lowerRoman"/>
      <w:lvlText w:val="%6."/>
      <w:lvlJc w:val="right"/>
      <w:pPr>
        <w:ind w:left="4320" w:hanging="180"/>
      </w:pPr>
    </w:lvl>
    <w:lvl w:ilvl="6" w:tplc="8E225AFC">
      <w:start w:val="1"/>
      <w:numFmt w:val="decimal"/>
      <w:lvlText w:val="%7."/>
      <w:lvlJc w:val="left"/>
      <w:pPr>
        <w:ind w:left="5040" w:hanging="360"/>
      </w:pPr>
    </w:lvl>
    <w:lvl w:ilvl="7" w:tplc="12EE8672">
      <w:start w:val="1"/>
      <w:numFmt w:val="lowerLetter"/>
      <w:lvlText w:val="%8."/>
      <w:lvlJc w:val="left"/>
      <w:pPr>
        <w:ind w:left="5760" w:hanging="360"/>
      </w:pPr>
    </w:lvl>
    <w:lvl w:ilvl="8" w:tplc="5F5A788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12E1F"/>
    <w:multiLevelType w:val="hybridMultilevel"/>
    <w:tmpl w:val="00000000"/>
    <w:lvl w:ilvl="0" w:tplc="5334612A">
      <w:start w:val="1"/>
      <w:numFmt w:val="bullet"/>
      <w:lvlText w:val=""/>
      <w:lvlJc w:val="left"/>
      <w:pPr>
        <w:ind w:left="1214" w:hanging="360"/>
      </w:pPr>
      <w:rPr>
        <w:rFonts w:ascii="Wingdings" w:hAnsi="Wingdings"/>
      </w:rPr>
    </w:lvl>
    <w:lvl w:ilvl="1" w:tplc="DE90B7BA">
      <w:start w:val="1"/>
      <w:numFmt w:val="bullet"/>
      <w:lvlText w:val="o"/>
      <w:lvlJc w:val="left"/>
      <w:pPr>
        <w:ind w:left="1934" w:hanging="360"/>
      </w:pPr>
      <w:rPr>
        <w:rFonts w:ascii="Courier New" w:hAnsi="Courier New"/>
      </w:rPr>
    </w:lvl>
    <w:lvl w:ilvl="2" w:tplc="005C4004">
      <w:start w:val="1"/>
      <w:numFmt w:val="bullet"/>
      <w:lvlText w:val=""/>
      <w:lvlJc w:val="left"/>
      <w:pPr>
        <w:ind w:left="2654" w:hanging="360"/>
      </w:pPr>
      <w:rPr>
        <w:rFonts w:ascii="Wingdings" w:hAnsi="Wingdings"/>
      </w:rPr>
    </w:lvl>
    <w:lvl w:ilvl="3" w:tplc="4F74A7FE">
      <w:start w:val="1"/>
      <w:numFmt w:val="bullet"/>
      <w:lvlText w:val=""/>
      <w:lvlJc w:val="left"/>
      <w:pPr>
        <w:ind w:left="3374" w:hanging="360"/>
      </w:pPr>
      <w:rPr>
        <w:rFonts w:ascii="Symbol" w:hAnsi="Symbol"/>
      </w:rPr>
    </w:lvl>
    <w:lvl w:ilvl="4" w:tplc="37B6BB6E">
      <w:start w:val="1"/>
      <w:numFmt w:val="bullet"/>
      <w:lvlText w:val="o"/>
      <w:lvlJc w:val="left"/>
      <w:pPr>
        <w:ind w:left="4094" w:hanging="360"/>
      </w:pPr>
      <w:rPr>
        <w:rFonts w:ascii="Courier New" w:hAnsi="Courier New"/>
      </w:rPr>
    </w:lvl>
    <w:lvl w:ilvl="5" w:tplc="E95E39D6">
      <w:start w:val="1"/>
      <w:numFmt w:val="bullet"/>
      <w:lvlText w:val=""/>
      <w:lvlJc w:val="left"/>
      <w:pPr>
        <w:ind w:left="4814" w:hanging="360"/>
      </w:pPr>
      <w:rPr>
        <w:rFonts w:ascii="Wingdings" w:hAnsi="Wingdings"/>
      </w:rPr>
    </w:lvl>
    <w:lvl w:ilvl="6" w:tplc="2E329C86">
      <w:start w:val="1"/>
      <w:numFmt w:val="bullet"/>
      <w:lvlText w:val=""/>
      <w:lvlJc w:val="left"/>
      <w:pPr>
        <w:ind w:left="5534" w:hanging="360"/>
      </w:pPr>
      <w:rPr>
        <w:rFonts w:ascii="Symbol" w:hAnsi="Symbol"/>
      </w:rPr>
    </w:lvl>
    <w:lvl w:ilvl="7" w:tplc="3982AC0C">
      <w:start w:val="1"/>
      <w:numFmt w:val="bullet"/>
      <w:lvlText w:val="o"/>
      <w:lvlJc w:val="left"/>
      <w:pPr>
        <w:ind w:left="6254" w:hanging="360"/>
      </w:pPr>
      <w:rPr>
        <w:rFonts w:ascii="Courier New" w:hAnsi="Courier New"/>
      </w:rPr>
    </w:lvl>
    <w:lvl w:ilvl="8" w:tplc="F6C8D962">
      <w:start w:val="1"/>
      <w:numFmt w:val="bullet"/>
      <w:lvlText w:val=""/>
      <w:lvlJc w:val="left"/>
      <w:pPr>
        <w:ind w:left="6974" w:hanging="360"/>
      </w:pPr>
      <w:rPr>
        <w:rFonts w:ascii="Wingdings" w:hAnsi="Wingdings"/>
      </w:rPr>
    </w:lvl>
  </w:abstractNum>
  <w:abstractNum w:abstractNumId="10" w15:restartNumberingAfterBreak="0">
    <w:nsid w:val="24B450AF"/>
    <w:multiLevelType w:val="hybridMultilevel"/>
    <w:tmpl w:val="00000000"/>
    <w:lvl w:ilvl="0" w:tplc="C49620D0">
      <w:start w:val="1"/>
      <w:numFmt w:val="lowerLetter"/>
      <w:lvlText w:val="%1."/>
      <w:lvlJc w:val="left"/>
      <w:pPr>
        <w:ind w:left="720" w:hanging="360"/>
      </w:pPr>
      <w:rPr>
        <w:sz w:val="24"/>
      </w:rPr>
    </w:lvl>
    <w:lvl w:ilvl="1" w:tplc="14BAA37A">
      <w:start w:val="1"/>
      <w:numFmt w:val="lowerLetter"/>
      <w:lvlText w:val="%2."/>
      <w:lvlJc w:val="left"/>
      <w:pPr>
        <w:ind w:left="1440" w:hanging="360"/>
      </w:pPr>
    </w:lvl>
    <w:lvl w:ilvl="2" w:tplc="FA620AD8">
      <w:start w:val="1"/>
      <w:numFmt w:val="lowerRoman"/>
      <w:lvlText w:val="%3."/>
      <w:lvlJc w:val="right"/>
      <w:pPr>
        <w:ind w:left="2160" w:hanging="180"/>
      </w:pPr>
    </w:lvl>
    <w:lvl w:ilvl="3" w:tplc="5D74A9D4">
      <w:start w:val="1"/>
      <w:numFmt w:val="decimal"/>
      <w:lvlText w:val="%4."/>
      <w:lvlJc w:val="left"/>
      <w:pPr>
        <w:ind w:left="2880" w:hanging="360"/>
      </w:pPr>
    </w:lvl>
    <w:lvl w:ilvl="4" w:tplc="CF72DF3E">
      <w:start w:val="1"/>
      <w:numFmt w:val="lowerLetter"/>
      <w:lvlText w:val="%5."/>
      <w:lvlJc w:val="left"/>
      <w:pPr>
        <w:ind w:left="3600" w:hanging="360"/>
      </w:pPr>
    </w:lvl>
    <w:lvl w:ilvl="5" w:tplc="F6F83890">
      <w:start w:val="1"/>
      <w:numFmt w:val="lowerRoman"/>
      <w:lvlText w:val="%6."/>
      <w:lvlJc w:val="right"/>
      <w:pPr>
        <w:ind w:left="4320" w:hanging="180"/>
      </w:pPr>
    </w:lvl>
    <w:lvl w:ilvl="6" w:tplc="49F6F532">
      <w:start w:val="1"/>
      <w:numFmt w:val="decimal"/>
      <w:lvlText w:val="%7."/>
      <w:lvlJc w:val="left"/>
      <w:pPr>
        <w:ind w:left="5040" w:hanging="360"/>
      </w:pPr>
    </w:lvl>
    <w:lvl w:ilvl="7" w:tplc="3E7A2F98">
      <w:start w:val="1"/>
      <w:numFmt w:val="lowerLetter"/>
      <w:lvlText w:val="%8."/>
      <w:lvlJc w:val="left"/>
      <w:pPr>
        <w:ind w:left="5760" w:hanging="360"/>
      </w:pPr>
    </w:lvl>
    <w:lvl w:ilvl="8" w:tplc="5BFAE6F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4AFC7"/>
    <w:multiLevelType w:val="hybridMultilevel"/>
    <w:tmpl w:val="00000000"/>
    <w:lvl w:ilvl="0" w:tplc="9B8005F2">
      <w:start w:val="1"/>
      <w:numFmt w:val="decimal"/>
      <w:lvlText w:val="%1)"/>
      <w:lvlJc w:val="left"/>
      <w:pPr>
        <w:ind w:left="1080" w:hanging="360"/>
      </w:pPr>
    </w:lvl>
    <w:lvl w:ilvl="1" w:tplc="7AE8AFB6">
      <w:start w:val="1"/>
      <w:numFmt w:val="lowerLetter"/>
      <w:lvlText w:val="%2."/>
      <w:lvlJc w:val="left"/>
      <w:pPr>
        <w:ind w:left="1800" w:hanging="360"/>
      </w:pPr>
    </w:lvl>
    <w:lvl w:ilvl="2" w:tplc="7AC6A578">
      <w:start w:val="1"/>
      <w:numFmt w:val="lowerRoman"/>
      <w:lvlText w:val="%3."/>
      <w:lvlJc w:val="right"/>
      <w:pPr>
        <w:ind w:left="2520" w:hanging="180"/>
      </w:pPr>
    </w:lvl>
    <w:lvl w:ilvl="3" w:tplc="71FAF3A2">
      <w:start w:val="1"/>
      <w:numFmt w:val="decimal"/>
      <w:lvlText w:val="%4."/>
      <w:lvlJc w:val="left"/>
      <w:pPr>
        <w:ind w:left="3240" w:hanging="360"/>
      </w:pPr>
    </w:lvl>
    <w:lvl w:ilvl="4" w:tplc="30708B2C">
      <w:start w:val="1"/>
      <w:numFmt w:val="lowerLetter"/>
      <w:lvlText w:val="%5."/>
      <w:lvlJc w:val="left"/>
      <w:pPr>
        <w:ind w:left="3960" w:hanging="360"/>
      </w:pPr>
    </w:lvl>
    <w:lvl w:ilvl="5" w:tplc="9DEA9D18">
      <w:start w:val="1"/>
      <w:numFmt w:val="lowerRoman"/>
      <w:lvlText w:val="%6."/>
      <w:lvlJc w:val="right"/>
      <w:pPr>
        <w:ind w:left="4680" w:hanging="180"/>
      </w:pPr>
    </w:lvl>
    <w:lvl w:ilvl="6" w:tplc="2CDC3C96">
      <w:start w:val="1"/>
      <w:numFmt w:val="decimal"/>
      <w:lvlText w:val="%7."/>
      <w:lvlJc w:val="left"/>
      <w:pPr>
        <w:ind w:left="5400" w:hanging="360"/>
      </w:pPr>
    </w:lvl>
    <w:lvl w:ilvl="7" w:tplc="BEA8D570">
      <w:start w:val="1"/>
      <w:numFmt w:val="lowerLetter"/>
      <w:lvlText w:val="%8."/>
      <w:lvlJc w:val="left"/>
      <w:pPr>
        <w:ind w:left="6120" w:hanging="360"/>
      </w:pPr>
    </w:lvl>
    <w:lvl w:ilvl="8" w:tplc="AF306262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722D7D"/>
    <w:multiLevelType w:val="hybridMultilevel"/>
    <w:tmpl w:val="00000000"/>
    <w:lvl w:ilvl="0" w:tplc="5D92386E">
      <w:start w:val="1"/>
      <w:numFmt w:val="lowerLetter"/>
      <w:lvlText w:val="%1."/>
      <w:lvlJc w:val="left"/>
      <w:pPr>
        <w:ind w:left="720" w:hanging="360"/>
      </w:pPr>
    </w:lvl>
    <w:lvl w:ilvl="1" w:tplc="38D00D22">
      <w:start w:val="1"/>
      <w:numFmt w:val="lowerLetter"/>
      <w:lvlText w:val="%2."/>
      <w:lvlJc w:val="left"/>
      <w:pPr>
        <w:ind w:left="1440" w:hanging="360"/>
      </w:pPr>
    </w:lvl>
    <w:lvl w:ilvl="2" w:tplc="547CA33A">
      <w:start w:val="1"/>
      <w:numFmt w:val="lowerRoman"/>
      <w:lvlText w:val="%3."/>
      <w:lvlJc w:val="right"/>
      <w:pPr>
        <w:ind w:left="2160" w:hanging="180"/>
      </w:pPr>
    </w:lvl>
    <w:lvl w:ilvl="3" w:tplc="5A362DCC">
      <w:start w:val="1"/>
      <w:numFmt w:val="decimal"/>
      <w:lvlText w:val="%4."/>
      <w:lvlJc w:val="left"/>
      <w:pPr>
        <w:ind w:left="2880" w:hanging="360"/>
      </w:pPr>
    </w:lvl>
    <w:lvl w:ilvl="4" w:tplc="41FCF318">
      <w:start w:val="1"/>
      <w:numFmt w:val="lowerLetter"/>
      <w:lvlText w:val="%5."/>
      <w:lvlJc w:val="left"/>
      <w:pPr>
        <w:ind w:left="3600" w:hanging="360"/>
      </w:pPr>
    </w:lvl>
    <w:lvl w:ilvl="5" w:tplc="A4583016">
      <w:start w:val="1"/>
      <w:numFmt w:val="lowerRoman"/>
      <w:lvlText w:val="%6."/>
      <w:lvlJc w:val="right"/>
      <w:pPr>
        <w:ind w:left="4320" w:hanging="180"/>
      </w:pPr>
    </w:lvl>
    <w:lvl w:ilvl="6" w:tplc="2716CAF0">
      <w:start w:val="1"/>
      <w:numFmt w:val="decimal"/>
      <w:lvlText w:val="%7."/>
      <w:lvlJc w:val="left"/>
      <w:pPr>
        <w:ind w:left="5040" w:hanging="360"/>
      </w:pPr>
    </w:lvl>
    <w:lvl w:ilvl="7" w:tplc="0D1EA602">
      <w:start w:val="1"/>
      <w:numFmt w:val="lowerLetter"/>
      <w:lvlText w:val="%8."/>
      <w:lvlJc w:val="left"/>
      <w:pPr>
        <w:ind w:left="5760" w:hanging="360"/>
      </w:pPr>
    </w:lvl>
    <w:lvl w:ilvl="8" w:tplc="3830EFA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681AD"/>
    <w:multiLevelType w:val="hybridMultilevel"/>
    <w:tmpl w:val="00000000"/>
    <w:lvl w:ilvl="0" w:tplc="7E309CAA">
      <w:start w:val="2"/>
      <w:numFmt w:val="decimal"/>
      <w:lvlText w:val="%1."/>
      <w:lvlJc w:val="left"/>
      <w:pPr>
        <w:ind w:left="1227" w:hanging="360"/>
      </w:pPr>
    </w:lvl>
    <w:lvl w:ilvl="1" w:tplc="BB8C7868">
      <w:start w:val="1"/>
      <w:numFmt w:val="lowerLetter"/>
      <w:lvlText w:val="%2."/>
      <w:lvlJc w:val="left"/>
      <w:pPr>
        <w:ind w:left="1947" w:hanging="360"/>
      </w:pPr>
    </w:lvl>
    <w:lvl w:ilvl="2" w:tplc="8AD20976">
      <w:start w:val="1"/>
      <w:numFmt w:val="lowerRoman"/>
      <w:lvlText w:val="%3."/>
      <w:lvlJc w:val="right"/>
      <w:pPr>
        <w:ind w:left="2667" w:hanging="180"/>
      </w:pPr>
    </w:lvl>
    <w:lvl w:ilvl="3" w:tplc="577CAE80">
      <w:start w:val="1"/>
      <w:numFmt w:val="decimal"/>
      <w:lvlText w:val="%4."/>
      <w:lvlJc w:val="left"/>
      <w:pPr>
        <w:ind w:left="3387" w:hanging="360"/>
      </w:pPr>
    </w:lvl>
    <w:lvl w:ilvl="4" w:tplc="D12E7676">
      <w:start w:val="1"/>
      <w:numFmt w:val="lowerLetter"/>
      <w:lvlText w:val="%5."/>
      <w:lvlJc w:val="left"/>
      <w:pPr>
        <w:ind w:left="4107" w:hanging="360"/>
      </w:pPr>
    </w:lvl>
    <w:lvl w:ilvl="5" w:tplc="31DA0270">
      <w:start w:val="1"/>
      <w:numFmt w:val="lowerRoman"/>
      <w:lvlText w:val="%6."/>
      <w:lvlJc w:val="right"/>
      <w:pPr>
        <w:ind w:left="4827" w:hanging="180"/>
      </w:pPr>
    </w:lvl>
    <w:lvl w:ilvl="6" w:tplc="E27A1B42">
      <w:start w:val="1"/>
      <w:numFmt w:val="decimal"/>
      <w:lvlText w:val="%7."/>
      <w:lvlJc w:val="left"/>
      <w:pPr>
        <w:ind w:left="5547" w:hanging="360"/>
      </w:pPr>
    </w:lvl>
    <w:lvl w:ilvl="7" w:tplc="068205E2">
      <w:start w:val="1"/>
      <w:numFmt w:val="lowerLetter"/>
      <w:lvlText w:val="%8."/>
      <w:lvlJc w:val="left"/>
      <w:pPr>
        <w:ind w:left="6267" w:hanging="360"/>
      </w:pPr>
    </w:lvl>
    <w:lvl w:ilvl="8" w:tplc="2BDE5BD2">
      <w:start w:val="1"/>
      <w:numFmt w:val="lowerRoman"/>
      <w:lvlText w:val="%9."/>
      <w:lvlJc w:val="right"/>
      <w:pPr>
        <w:ind w:left="6987" w:hanging="180"/>
      </w:pPr>
    </w:lvl>
  </w:abstractNum>
  <w:abstractNum w:abstractNumId="14" w15:restartNumberingAfterBreak="0">
    <w:nsid w:val="3750297C"/>
    <w:multiLevelType w:val="hybridMultilevel"/>
    <w:tmpl w:val="00000000"/>
    <w:lvl w:ilvl="0" w:tplc="8BB04C46">
      <w:start w:val="1"/>
      <w:numFmt w:val="lowerLetter"/>
      <w:lvlText w:val="%1."/>
      <w:lvlJc w:val="left"/>
      <w:pPr>
        <w:ind w:left="500" w:hanging="360"/>
      </w:pPr>
    </w:lvl>
    <w:lvl w:ilvl="1" w:tplc="90185C66">
      <w:start w:val="1"/>
      <w:numFmt w:val="lowerLetter"/>
      <w:lvlText w:val="%2."/>
      <w:lvlJc w:val="left"/>
      <w:pPr>
        <w:ind w:left="1220" w:hanging="360"/>
      </w:pPr>
    </w:lvl>
    <w:lvl w:ilvl="2" w:tplc="3620F682">
      <w:start w:val="1"/>
      <w:numFmt w:val="lowerRoman"/>
      <w:lvlText w:val="%3."/>
      <w:lvlJc w:val="right"/>
      <w:pPr>
        <w:ind w:left="1940" w:hanging="180"/>
      </w:pPr>
    </w:lvl>
    <w:lvl w:ilvl="3" w:tplc="665E845A">
      <w:start w:val="1"/>
      <w:numFmt w:val="decimal"/>
      <w:lvlText w:val="%4."/>
      <w:lvlJc w:val="left"/>
      <w:pPr>
        <w:ind w:left="2660" w:hanging="360"/>
      </w:pPr>
    </w:lvl>
    <w:lvl w:ilvl="4" w:tplc="04EC1006">
      <w:start w:val="1"/>
      <w:numFmt w:val="lowerLetter"/>
      <w:lvlText w:val="%5."/>
      <w:lvlJc w:val="left"/>
      <w:pPr>
        <w:ind w:left="3380" w:hanging="360"/>
      </w:pPr>
    </w:lvl>
    <w:lvl w:ilvl="5" w:tplc="0064379A">
      <w:start w:val="1"/>
      <w:numFmt w:val="lowerRoman"/>
      <w:lvlText w:val="%6."/>
      <w:lvlJc w:val="right"/>
      <w:pPr>
        <w:ind w:left="4100" w:hanging="180"/>
      </w:pPr>
    </w:lvl>
    <w:lvl w:ilvl="6" w:tplc="582C2CD4">
      <w:start w:val="1"/>
      <w:numFmt w:val="decimal"/>
      <w:lvlText w:val="%7."/>
      <w:lvlJc w:val="left"/>
      <w:pPr>
        <w:ind w:left="4820" w:hanging="360"/>
      </w:pPr>
    </w:lvl>
    <w:lvl w:ilvl="7" w:tplc="3FF05AEA">
      <w:start w:val="1"/>
      <w:numFmt w:val="lowerLetter"/>
      <w:lvlText w:val="%8."/>
      <w:lvlJc w:val="left"/>
      <w:pPr>
        <w:ind w:left="5540" w:hanging="360"/>
      </w:pPr>
    </w:lvl>
    <w:lvl w:ilvl="8" w:tplc="3BCA47EE">
      <w:start w:val="1"/>
      <w:numFmt w:val="lowerRoman"/>
      <w:lvlText w:val="%9."/>
      <w:lvlJc w:val="right"/>
      <w:pPr>
        <w:ind w:left="6260" w:hanging="180"/>
      </w:pPr>
    </w:lvl>
  </w:abstractNum>
  <w:abstractNum w:abstractNumId="15" w15:restartNumberingAfterBreak="0">
    <w:nsid w:val="394A1545"/>
    <w:multiLevelType w:val="hybridMultilevel"/>
    <w:tmpl w:val="00000000"/>
    <w:lvl w:ilvl="0" w:tplc="1FE63BEE">
      <w:start w:val="1"/>
      <w:numFmt w:val="lowerLetter"/>
      <w:lvlText w:val="%1)"/>
      <w:lvlJc w:val="left"/>
      <w:pPr>
        <w:ind w:left="1004" w:hanging="360"/>
      </w:pPr>
    </w:lvl>
    <w:lvl w:ilvl="1" w:tplc="A6E05D1C">
      <w:start w:val="1"/>
      <w:numFmt w:val="lowerLetter"/>
      <w:lvlText w:val="%2."/>
      <w:lvlJc w:val="left"/>
      <w:pPr>
        <w:ind w:left="1724" w:hanging="360"/>
      </w:pPr>
    </w:lvl>
    <w:lvl w:ilvl="2" w:tplc="89B43F18">
      <w:start w:val="1"/>
      <w:numFmt w:val="lowerRoman"/>
      <w:lvlText w:val="%3."/>
      <w:lvlJc w:val="right"/>
      <w:pPr>
        <w:ind w:left="2444" w:hanging="180"/>
      </w:pPr>
    </w:lvl>
    <w:lvl w:ilvl="3" w:tplc="FFF608FE">
      <w:start w:val="1"/>
      <w:numFmt w:val="decimal"/>
      <w:lvlText w:val="%4."/>
      <w:lvlJc w:val="left"/>
      <w:pPr>
        <w:ind w:left="3164" w:hanging="360"/>
      </w:pPr>
    </w:lvl>
    <w:lvl w:ilvl="4" w:tplc="6616E9F2">
      <w:start w:val="1"/>
      <w:numFmt w:val="lowerLetter"/>
      <w:lvlText w:val="%5."/>
      <w:lvlJc w:val="left"/>
      <w:pPr>
        <w:ind w:left="3884" w:hanging="360"/>
      </w:pPr>
    </w:lvl>
    <w:lvl w:ilvl="5" w:tplc="938A93AE">
      <w:start w:val="1"/>
      <w:numFmt w:val="lowerRoman"/>
      <w:lvlText w:val="%6."/>
      <w:lvlJc w:val="right"/>
      <w:pPr>
        <w:ind w:left="4604" w:hanging="180"/>
      </w:pPr>
    </w:lvl>
    <w:lvl w:ilvl="6" w:tplc="2466E74C">
      <w:start w:val="1"/>
      <w:numFmt w:val="decimal"/>
      <w:lvlText w:val="%7."/>
      <w:lvlJc w:val="left"/>
      <w:pPr>
        <w:ind w:left="5324" w:hanging="360"/>
      </w:pPr>
    </w:lvl>
    <w:lvl w:ilvl="7" w:tplc="D3C6CB5C">
      <w:start w:val="1"/>
      <w:numFmt w:val="lowerLetter"/>
      <w:lvlText w:val="%8."/>
      <w:lvlJc w:val="left"/>
      <w:pPr>
        <w:ind w:left="6044" w:hanging="360"/>
      </w:pPr>
    </w:lvl>
    <w:lvl w:ilvl="8" w:tplc="3EEC420C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5335AB"/>
    <w:multiLevelType w:val="hybridMultilevel"/>
    <w:tmpl w:val="00000000"/>
    <w:lvl w:ilvl="0" w:tplc="ADDA176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F36F848">
      <w:start w:val="1"/>
      <w:numFmt w:val="lowerLetter"/>
      <w:lvlText w:val="%2."/>
      <w:lvlJc w:val="left"/>
      <w:pPr>
        <w:ind w:left="1440" w:hanging="360"/>
      </w:pPr>
    </w:lvl>
    <w:lvl w:ilvl="2" w:tplc="6BD089E4">
      <w:start w:val="1"/>
      <w:numFmt w:val="lowerRoman"/>
      <w:lvlText w:val="%3."/>
      <w:lvlJc w:val="right"/>
      <w:pPr>
        <w:ind w:left="2160" w:hanging="180"/>
      </w:pPr>
    </w:lvl>
    <w:lvl w:ilvl="3" w:tplc="51C0ABD0">
      <w:start w:val="1"/>
      <w:numFmt w:val="decimal"/>
      <w:lvlText w:val="%4."/>
      <w:lvlJc w:val="left"/>
      <w:pPr>
        <w:ind w:left="2880" w:hanging="360"/>
      </w:pPr>
    </w:lvl>
    <w:lvl w:ilvl="4" w:tplc="FD3A2118">
      <w:start w:val="1"/>
      <w:numFmt w:val="lowerLetter"/>
      <w:lvlText w:val="%5."/>
      <w:lvlJc w:val="left"/>
      <w:pPr>
        <w:ind w:left="3600" w:hanging="360"/>
      </w:pPr>
    </w:lvl>
    <w:lvl w:ilvl="5" w:tplc="10B8CEEE">
      <w:start w:val="1"/>
      <w:numFmt w:val="lowerRoman"/>
      <w:lvlText w:val="%6."/>
      <w:lvlJc w:val="right"/>
      <w:pPr>
        <w:ind w:left="4320" w:hanging="180"/>
      </w:pPr>
    </w:lvl>
    <w:lvl w:ilvl="6" w:tplc="F7701212">
      <w:start w:val="1"/>
      <w:numFmt w:val="decimal"/>
      <w:lvlText w:val="%7."/>
      <w:lvlJc w:val="left"/>
      <w:pPr>
        <w:ind w:left="5040" w:hanging="360"/>
      </w:pPr>
    </w:lvl>
    <w:lvl w:ilvl="7" w:tplc="A93E334C">
      <w:start w:val="1"/>
      <w:numFmt w:val="lowerLetter"/>
      <w:lvlText w:val="%8."/>
      <w:lvlJc w:val="left"/>
      <w:pPr>
        <w:ind w:left="5760" w:hanging="360"/>
      </w:pPr>
    </w:lvl>
    <w:lvl w:ilvl="8" w:tplc="3E304BD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9747A"/>
    <w:multiLevelType w:val="hybridMultilevel"/>
    <w:tmpl w:val="00000000"/>
    <w:lvl w:ilvl="0" w:tplc="CD0022A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EE8CC06">
      <w:start w:val="1"/>
      <w:numFmt w:val="lowerLetter"/>
      <w:lvlText w:val="%2."/>
      <w:lvlJc w:val="left"/>
      <w:pPr>
        <w:ind w:left="1440" w:hanging="360"/>
      </w:pPr>
    </w:lvl>
    <w:lvl w:ilvl="2" w:tplc="83921600">
      <w:start w:val="1"/>
      <w:numFmt w:val="lowerRoman"/>
      <w:lvlText w:val="%3."/>
      <w:lvlJc w:val="right"/>
      <w:pPr>
        <w:ind w:left="2160" w:hanging="180"/>
      </w:pPr>
    </w:lvl>
    <w:lvl w:ilvl="3" w:tplc="760AFD0A">
      <w:start w:val="1"/>
      <w:numFmt w:val="decimal"/>
      <w:lvlText w:val="%4."/>
      <w:lvlJc w:val="left"/>
      <w:pPr>
        <w:ind w:left="2880" w:hanging="360"/>
      </w:pPr>
    </w:lvl>
    <w:lvl w:ilvl="4" w:tplc="18FA8EE2">
      <w:start w:val="1"/>
      <w:numFmt w:val="lowerLetter"/>
      <w:lvlText w:val="%5."/>
      <w:lvlJc w:val="left"/>
      <w:pPr>
        <w:ind w:left="3600" w:hanging="360"/>
      </w:pPr>
    </w:lvl>
    <w:lvl w:ilvl="5" w:tplc="1ED8ADD2">
      <w:start w:val="1"/>
      <w:numFmt w:val="lowerRoman"/>
      <w:lvlText w:val="%6."/>
      <w:lvlJc w:val="right"/>
      <w:pPr>
        <w:ind w:left="4320" w:hanging="180"/>
      </w:pPr>
    </w:lvl>
    <w:lvl w:ilvl="6" w:tplc="D22C7068">
      <w:start w:val="1"/>
      <w:numFmt w:val="decimal"/>
      <w:lvlText w:val="%7."/>
      <w:lvlJc w:val="left"/>
      <w:pPr>
        <w:ind w:left="5040" w:hanging="360"/>
      </w:pPr>
    </w:lvl>
    <w:lvl w:ilvl="7" w:tplc="B73E670E">
      <w:start w:val="1"/>
      <w:numFmt w:val="lowerLetter"/>
      <w:lvlText w:val="%8."/>
      <w:lvlJc w:val="left"/>
      <w:pPr>
        <w:ind w:left="5760" w:hanging="360"/>
      </w:pPr>
    </w:lvl>
    <w:lvl w:ilvl="8" w:tplc="16EA745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856E3"/>
    <w:multiLevelType w:val="hybridMultilevel"/>
    <w:tmpl w:val="00000000"/>
    <w:lvl w:ilvl="0" w:tplc="0D446874">
      <w:start w:val="1"/>
      <w:numFmt w:val="lowerLetter"/>
      <w:lvlText w:val="%1)"/>
      <w:lvlJc w:val="left"/>
      <w:pPr>
        <w:ind w:left="1080" w:hanging="360"/>
      </w:pPr>
    </w:lvl>
    <w:lvl w:ilvl="1" w:tplc="8D823BF6">
      <w:start w:val="1"/>
      <w:numFmt w:val="lowerLetter"/>
      <w:lvlText w:val="%2."/>
      <w:lvlJc w:val="left"/>
      <w:pPr>
        <w:ind w:left="1800" w:hanging="360"/>
      </w:pPr>
    </w:lvl>
    <w:lvl w:ilvl="2" w:tplc="A7A4C92E">
      <w:start w:val="1"/>
      <w:numFmt w:val="lowerRoman"/>
      <w:lvlText w:val="%3."/>
      <w:lvlJc w:val="right"/>
      <w:pPr>
        <w:ind w:left="2520" w:hanging="180"/>
      </w:pPr>
    </w:lvl>
    <w:lvl w:ilvl="3" w:tplc="83A260D2">
      <w:start w:val="1"/>
      <w:numFmt w:val="decimal"/>
      <w:lvlText w:val="%4."/>
      <w:lvlJc w:val="left"/>
      <w:pPr>
        <w:ind w:left="3240" w:hanging="360"/>
      </w:pPr>
    </w:lvl>
    <w:lvl w:ilvl="4" w:tplc="B22CEA62">
      <w:start w:val="1"/>
      <w:numFmt w:val="lowerLetter"/>
      <w:lvlText w:val="%5."/>
      <w:lvlJc w:val="left"/>
      <w:pPr>
        <w:ind w:left="3960" w:hanging="360"/>
      </w:pPr>
    </w:lvl>
    <w:lvl w:ilvl="5" w:tplc="4FE43708">
      <w:start w:val="1"/>
      <w:numFmt w:val="lowerRoman"/>
      <w:lvlText w:val="%6."/>
      <w:lvlJc w:val="right"/>
      <w:pPr>
        <w:ind w:left="4680" w:hanging="180"/>
      </w:pPr>
    </w:lvl>
    <w:lvl w:ilvl="6" w:tplc="B67E77E0">
      <w:start w:val="1"/>
      <w:numFmt w:val="decimal"/>
      <w:lvlText w:val="%7."/>
      <w:lvlJc w:val="left"/>
      <w:pPr>
        <w:ind w:left="5400" w:hanging="360"/>
      </w:pPr>
    </w:lvl>
    <w:lvl w:ilvl="7" w:tplc="37C28CE6">
      <w:start w:val="1"/>
      <w:numFmt w:val="lowerLetter"/>
      <w:lvlText w:val="%8."/>
      <w:lvlJc w:val="left"/>
      <w:pPr>
        <w:ind w:left="6120" w:hanging="360"/>
      </w:pPr>
    </w:lvl>
    <w:lvl w:ilvl="8" w:tplc="DA3AA5E2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D40F2D"/>
    <w:multiLevelType w:val="hybridMultilevel"/>
    <w:tmpl w:val="00000000"/>
    <w:lvl w:ilvl="0" w:tplc="4684C640">
      <w:start w:val="1"/>
      <w:numFmt w:val="lowerLetter"/>
      <w:lvlText w:val="%1)"/>
      <w:lvlJc w:val="left"/>
      <w:pPr>
        <w:ind w:left="360" w:hanging="360"/>
      </w:pPr>
    </w:lvl>
    <w:lvl w:ilvl="1" w:tplc="08C00110">
      <w:start w:val="1"/>
      <w:numFmt w:val="lowerLetter"/>
      <w:lvlText w:val="%2)"/>
      <w:lvlJc w:val="left"/>
      <w:pPr>
        <w:ind w:left="1080" w:hanging="360"/>
      </w:pPr>
    </w:lvl>
    <w:lvl w:ilvl="2" w:tplc="33FE0030">
      <w:start w:val="1"/>
      <w:numFmt w:val="lowerRoman"/>
      <w:lvlText w:val="%3."/>
      <w:lvlJc w:val="right"/>
      <w:pPr>
        <w:ind w:left="1800" w:hanging="180"/>
      </w:pPr>
    </w:lvl>
    <w:lvl w:ilvl="3" w:tplc="8D60FCC8">
      <w:start w:val="1"/>
      <w:numFmt w:val="decimal"/>
      <w:lvlText w:val="%4."/>
      <w:lvlJc w:val="left"/>
      <w:pPr>
        <w:ind w:left="2520" w:hanging="360"/>
      </w:pPr>
    </w:lvl>
    <w:lvl w:ilvl="4" w:tplc="3E7C70C4">
      <w:start w:val="1"/>
      <w:numFmt w:val="lowerLetter"/>
      <w:lvlText w:val="%5."/>
      <w:lvlJc w:val="left"/>
      <w:pPr>
        <w:ind w:left="3240" w:hanging="360"/>
      </w:pPr>
    </w:lvl>
    <w:lvl w:ilvl="5" w:tplc="89F2AF72">
      <w:start w:val="1"/>
      <w:numFmt w:val="lowerRoman"/>
      <w:lvlText w:val="%6."/>
      <w:lvlJc w:val="right"/>
      <w:pPr>
        <w:ind w:left="3960" w:hanging="180"/>
      </w:pPr>
    </w:lvl>
    <w:lvl w:ilvl="6" w:tplc="5A50474E">
      <w:start w:val="1"/>
      <w:numFmt w:val="decimal"/>
      <w:lvlText w:val="%7."/>
      <w:lvlJc w:val="left"/>
      <w:pPr>
        <w:ind w:left="4680" w:hanging="360"/>
      </w:pPr>
    </w:lvl>
    <w:lvl w:ilvl="7" w:tplc="0A4C6E66">
      <w:start w:val="1"/>
      <w:numFmt w:val="lowerLetter"/>
      <w:lvlText w:val="%8."/>
      <w:lvlJc w:val="left"/>
      <w:pPr>
        <w:ind w:left="5400" w:hanging="360"/>
      </w:pPr>
    </w:lvl>
    <w:lvl w:ilvl="8" w:tplc="A53EC022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F7755A"/>
    <w:multiLevelType w:val="hybridMultilevel"/>
    <w:tmpl w:val="00000000"/>
    <w:lvl w:ilvl="0" w:tplc="EDC8A8D0">
      <w:start w:val="1"/>
      <w:numFmt w:val="upperLetter"/>
      <w:lvlText w:val="%1."/>
      <w:lvlJc w:val="left"/>
      <w:pPr>
        <w:ind w:left="720" w:hanging="360"/>
      </w:pPr>
    </w:lvl>
    <w:lvl w:ilvl="1" w:tplc="D8E091AE">
      <w:start w:val="1"/>
      <w:numFmt w:val="lowerLetter"/>
      <w:lvlText w:val="%2."/>
      <w:lvlJc w:val="left"/>
      <w:pPr>
        <w:ind w:left="1440" w:hanging="360"/>
      </w:pPr>
    </w:lvl>
    <w:lvl w:ilvl="2" w:tplc="2D929C12">
      <w:start w:val="1"/>
      <w:numFmt w:val="lowerRoman"/>
      <w:lvlText w:val="%3."/>
      <w:lvlJc w:val="right"/>
      <w:pPr>
        <w:ind w:left="2160" w:hanging="180"/>
      </w:pPr>
    </w:lvl>
    <w:lvl w:ilvl="3" w:tplc="C74057D8">
      <w:start w:val="1"/>
      <w:numFmt w:val="decimal"/>
      <w:lvlText w:val="%4."/>
      <w:lvlJc w:val="left"/>
      <w:pPr>
        <w:ind w:left="2880" w:hanging="360"/>
      </w:pPr>
    </w:lvl>
    <w:lvl w:ilvl="4" w:tplc="77709666">
      <w:start w:val="1"/>
      <w:numFmt w:val="lowerLetter"/>
      <w:lvlText w:val="%5."/>
      <w:lvlJc w:val="left"/>
      <w:pPr>
        <w:ind w:left="3600" w:hanging="360"/>
      </w:pPr>
    </w:lvl>
    <w:lvl w:ilvl="5" w:tplc="2B140E64">
      <w:start w:val="1"/>
      <w:numFmt w:val="lowerRoman"/>
      <w:lvlText w:val="%6."/>
      <w:lvlJc w:val="right"/>
      <w:pPr>
        <w:ind w:left="4320" w:hanging="180"/>
      </w:pPr>
    </w:lvl>
    <w:lvl w:ilvl="6" w:tplc="547A6248">
      <w:start w:val="1"/>
      <w:numFmt w:val="decimal"/>
      <w:lvlText w:val="%7."/>
      <w:lvlJc w:val="left"/>
      <w:pPr>
        <w:ind w:left="5040" w:hanging="360"/>
      </w:pPr>
    </w:lvl>
    <w:lvl w:ilvl="7" w:tplc="E4CACA1E">
      <w:start w:val="1"/>
      <w:numFmt w:val="lowerLetter"/>
      <w:lvlText w:val="%8."/>
      <w:lvlJc w:val="left"/>
      <w:pPr>
        <w:ind w:left="5760" w:hanging="360"/>
      </w:pPr>
    </w:lvl>
    <w:lvl w:ilvl="8" w:tplc="926A838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F053C"/>
    <w:multiLevelType w:val="hybridMultilevel"/>
    <w:tmpl w:val="00000000"/>
    <w:lvl w:ilvl="0" w:tplc="85882922">
      <w:start w:val="1"/>
      <w:numFmt w:val="bullet"/>
      <w:lvlText w:val=""/>
      <w:lvlJc w:val="left"/>
      <w:pPr>
        <w:ind w:left="1204" w:hanging="360"/>
      </w:pPr>
      <w:rPr>
        <w:rFonts w:ascii="Wingdings" w:hAnsi="Wingdings"/>
      </w:rPr>
    </w:lvl>
    <w:lvl w:ilvl="1" w:tplc="8B78EFF2">
      <w:start w:val="1"/>
      <w:numFmt w:val="bullet"/>
      <w:lvlText w:val="o"/>
      <w:lvlJc w:val="left"/>
      <w:pPr>
        <w:ind w:left="1924" w:hanging="360"/>
      </w:pPr>
      <w:rPr>
        <w:rFonts w:ascii="Courier New" w:hAnsi="Courier New"/>
      </w:rPr>
    </w:lvl>
    <w:lvl w:ilvl="2" w:tplc="DCFC395A">
      <w:start w:val="1"/>
      <w:numFmt w:val="bullet"/>
      <w:lvlText w:val=""/>
      <w:lvlJc w:val="left"/>
      <w:pPr>
        <w:ind w:left="2644" w:hanging="360"/>
      </w:pPr>
      <w:rPr>
        <w:rFonts w:ascii="Wingdings" w:hAnsi="Wingdings"/>
      </w:rPr>
    </w:lvl>
    <w:lvl w:ilvl="3" w:tplc="94F053C6">
      <w:start w:val="1"/>
      <w:numFmt w:val="bullet"/>
      <w:lvlText w:val=""/>
      <w:lvlJc w:val="left"/>
      <w:pPr>
        <w:ind w:left="3364" w:hanging="360"/>
      </w:pPr>
      <w:rPr>
        <w:rFonts w:ascii="Symbol" w:hAnsi="Symbol"/>
      </w:rPr>
    </w:lvl>
    <w:lvl w:ilvl="4" w:tplc="5D24ACF6">
      <w:start w:val="1"/>
      <w:numFmt w:val="bullet"/>
      <w:lvlText w:val="o"/>
      <w:lvlJc w:val="left"/>
      <w:pPr>
        <w:ind w:left="4084" w:hanging="360"/>
      </w:pPr>
      <w:rPr>
        <w:rFonts w:ascii="Courier New" w:hAnsi="Courier New"/>
      </w:rPr>
    </w:lvl>
    <w:lvl w:ilvl="5" w:tplc="E87435AE">
      <w:start w:val="1"/>
      <w:numFmt w:val="bullet"/>
      <w:lvlText w:val=""/>
      <w:lvlJc w:val="left"/>
      <w:pPr>
        <w:ind w:left="4804" w:hanging="360"/>
      </w:pPr>
      <w:rPr>
        <w:rFonts w:ascii="Wingdings" w:hAnsi="Wingdings"/>
      </w:rPr>
    </w:lvl>
    <w:lvl w:ilvl="6" w:tplc="B8A8BE64">
      <w:start w:val="1"/>
      <w:numFmt w:val="bullet"/>
      <w:lvlText w:val=""/>
      <w:lvlJc w:val="left"/>
      <w:pPr>
        <w:ind w:left="5524" w:hanging="360"/>
      </w:pPr>
      <w:rPr>
        <w:rFonts w:ascii="Symbol" w:hAnsi="Symbol"/>
      </w:rPr>
    </w:lvl>
    <w:lvl w:ilvl="7" w:tplc="AFC83CEE">
      <w:start w:val="1"/>
      <w:numFmt w:val="bullet"/>
      <w:lvlText w:val="o"/>
      <w:lvlJc w:val="left"/>
      <w:pPr>
        <w:ind w:left="6244" w:hanging="360"/>
      </w:pPr>
      <w:rPr>
        <w:rFonts w:ascii="Courier New" w:hAnsi="Courier New"/>
      </w:rPr>
    </w:lvl>
    <w:lvl w:ilvl="8" w:tplc="FDFEAB2E">
      <w:start w:val="1"/>
      <w:numFmt w:val="bullet"/>
      <w:lvlText w:val=""/>
      <w:lvlJc w:val="left"/>
      <w:pPr>
        <w:ind w:left="6964" w:hanging="360"/>
      </w:pPr>
      <w:rPr>
        <w:rFonts w:ascii="Wingdings" w:hAnsi="Wingdings"/>
      </w:rPr>
    </w:lvl>
  </w:abstractNum>
  <w:abstractNum w:abstractNumId="22" w15:restartNumberingAfterBreak="0">
    <w:nsid w:val="4D1D1AFC"/>
    <w:multiLevelType w:val="hybridMultilevel"/>
    <w:tmpl w:val="00000000"/>
    <w:lvl w:ilvl="0" w:tplc="90E891C2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3948CA1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41E4A8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332DEE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B5600C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92200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6F4AAB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D7EA5C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BE1B8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4E166EB8"/>
    <w:multiLevelType w:val="hybridMultilevel"/>
    <w:tmpl w:val="00000000"/>
    <w:lvl w:ilvl="0" w:tplc="ED567AB8">
      <w:start w:val="1"/>
      <w:numFmt w:val="lowerLetter"/>
      <w:lvlText w:val="%1)"/>
      <w:lvlJc w:val="left"/>
      <w:pPr>
        <w:ind w:left="1429" w:hanging="360"/>
      </w:pPr>
    </w:lvl>
    <w:lvl w:ilvl="1" w:tplc="4B50ADEE">
      <w:start w:val="1"/>
      <w:numFmt w:val="lowerLetter"/>
      <w:lvlText w:val="%2."/>
      <w:lvlJc w:val="left"/>
      <w:pPr>
        <w:ind w:left="2149" w:hanging="360"/>
      </w:pPr>
    </w:lvl>
    <w:lvl w:ilvl="2" w:tplc="36B6450E">
      <w:start w:val="1"/>
      <w:numFmt w:val="lowerRoman"/>
      <w:lvlText w:val="%3."/>
      <w:lvlJc w:val="right"/>
      <w:pPr>
        <w:ind w:left="2869" w:hanging="180"/>
      </w:pPr>
    </w:lvl>
    <w:lvl w:ilvl="3" w:tplc="945E6AE6">
      <w:start w:val="1"/>
      <w:numFmt w:val="decimal"/>
      <w:lvlText w:val="%4."/>
      <w:lvlJc w:val="left"/>
      <w:pPr>
        <w:ind w:left="3589" w:hanging="360"/>
      </w:pPr>
    </w:lvl>
    <w:lvl w:ilvl="4" w:tplc="87F2D3E0">
      <w:start w:val="1"/>
      <w:numFmt w:val="lowerLetter"/>
      <w:lvlText w:val="%5."/>
      <w:lvlJc w:val="left"/>
      <w:pPr>
        <w:ind w:left="4309" w:hanging="360"/>
      </w:pPr>
    </w:lvl>
    <w:lvl w:ilvl="5" w:tplc="EA6CDAA0">
      <w:start w:val="1"/>
      <w:numFmt w:val="lowerRoman"/>
      <w:lvlText w:val="%6."/>
      <w:lvlJc w:val="right"/>
      <w:pPr>
        <w:ind w:left="5029" w:hanging="180"/>
      </w:pPr>
    </w:lvl>
    <w:lvl w:ilvl="6" w:tplc="B6E4BDE8">
      <w:start w:val="1"/>
      <w:numFmt w:val="decimal"/>
      <w:lvlText w:val="%7."/>
      <w:lvlJc w:val="left"/>
      <w:pPr>
        <w:ind w:left="5749" w:hanging="360"/>
      </w:pPr>
    </w:lvl>
    <w:lvl w:ilvl="7" w:tplc="F6A000B0">
      <w:start w:val="1"/>
      <w:numFmt w:val="lowerLetter"/>
      <w:lvlText w:val="%8."/>
      <w:lvlJc w:val="left"/>
      <w:pPr>
        <w:ind w:left="6469" w:hanging="360"/>
      </w:pPr>
    </w:lvl>
    <w:lvl w:ilvl="8" w:tplc="A410A23C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E793CCB"/>
    <w:multiLevelType w:val="hybridMultilevel"/>
    <w:tmpl w:val="00000000"/>
    <w:lvl w:ilvl="0" w:tplc="529A67CE">
      <w:start w:val="10"/>
      <w:numFmt w:val="decimal"/>
      <w:lvlText w:val="%1"/>
      <w:lvlJc w:val="left"/>
      <w:pPr>
        <w:ind w:left="720" w:hanging="360"/>
      </w:pPr>
    </w:lvl>
    <w:lvl w:ilvl="1" w:tplc="D80E3918">
      <w:start w:val="1"/>
      <w:numFmt w:val="lowerLetter"/>
      <w:lvlText w:val="%2."/>
      <w:lvlJc w:val="left"/>
      <w:pPr>
        <w:ind w:left="1440" w:hanging="360"/>
      </w:pPr>
    </w:lvl>
    <w:lvl w:ilvl="2" w:tplc="A45E22EE">
      <w:start w:val="1"/>
      <w:numFmt w:val="lowerRoman"/>
      <w:lvlText w:val="%3."/>
      <w:lvlJc w:val="right"/>
      <w:pPr>
        <w:ind w:left="2160" w:hanging="180"/>
      </w:pPr>
    </w:lvl>
    <w:lvl w:ilvl="3" w:tplc="903272D8">
      <w:start w:val="1"/>
      <w:numFmt w:val="decimal"/>
      <w:lvlText w:val="%4."/>
      <w:lvlJc w:val="left"/>
      <w:pPr>
        <w:ind w:left="2880" w:hanging="360"/>
      </w:pPr>
    </w:lvl>
    <w:lvl w:ilvl="4" w:tplc="376451A2">
      <w:start w:val="1"/>
      <w:numFmt w:val="lowerLetter"/>
      <w:lvlText w:val="%5."/>
      <w:lvlJc w:val="left"/>
      <w:pPr>
        <w:ind w:left="3600" w:hanging="360"/>
      </w:pPr>
    </w:lvl>
    <w:lvl w:ilvl="5" w:tplc="1AA0E5C6">
      <w:start w:val="1"/>
      <w:numFmt w:val="lowerRoman"/>
      <w:lvlText w:val="%6."/>
      <w:lvlJc w:val="right"/>
      <w:pPr>
        <w:ind w:left="4320" w:hanging="180"/>
      </w:pPr>
    </w:lvl>
    <w:lvl w:ilvl="6" w:tplc="A4361C84">
      <w:start w:val="1"/>
      <w:numFmt w:val="decimal"/>
      <w:lvlText w:val="%7."/>
      <w:lvlJc w:val="left"/>
      <w:pPr>
        <w:ind w:left="5040" w:hanging="360"/>
      </w:pPr>
    </w:lvl>
    <w:lvl w:ilvl="7" w:tplc="5994EECA">
      <w:start w:val="1"/>
      <w:numFmt w:val="lowerLetter"/>
      <w:lvlText w:val="%8."/>
      <w:lvlJc w:val="left"/>
      <w:pPr>
        <w:ind w:left="5760" w:hanging="360"/>
      </w:pPr>
    </w:lvl>
    <w:lvl w:ilvl="8" w:tplc="7B341ED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010AA"/>
    <w:multiLevelType w:val="hybridMultilevel"/>
    <w:tmpl w:val="00000000"/>
    <w:lvl w:ilvl="0" w:tplc="DE90E2B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21786AEA">
      <w:start w:val="1"/>
      <w:numFmt w:val="lowerLetter"/>
      <w:lvlText w:val="%2."/>
      <w:lvlJc w:val="left"/>
      <w:pPr>
        <w:ind w:left="1440" w:hanging="360"/>
      </w:pPr>
    </w:lvl>
    <w:lvl w:ilvl="2" w:tplc="256E4E56">
      <w:start w:val="1"/>
      <w:numFmt w:val="lowerRoman"/>
      <w:lvlText w:val="%3."/>
      <w:lvlJc w:val="right"/>
      <w:pPr>
        <w:ind w:left="2160" w:hanging="180"/>
      </w:pPr>
    </w:lvl>
    <w:lvl w:ilvl="3" w:tplc="C9B0EB00">
      <w:start w:val="1"/>
      <w:numFmt w:val="decimal"/>
      <w:lvlText w:val="%4."/>
      <w:lvlJc w:val="left"/>
      <w:pPr>
        <w:ind w:left="2880" w:hanging="360"/>
      </w:pPr>
    </w:lvl>
    <w:lvl w:ilvl="4" w:tplc="1D98AB2A">
      <w:start w:val="1"/>
      <w:numFmt w:val="lowerLetter"/>
      <w:lvlText w:val="%5."/>
      <w:lvlJc w:val="left"/>
      <w:pPr>
        <w:ind w:left="3600" w:hanging="360"/>
      </w:pPr>
    </w:lvl>
    <w:lvl w:ilvl="5" w:tplc="F08EFB8A">
      <w:start w:val="1"/>
      <w:numFmt w:val="lowerRoman"/>
      <w:lvlText w:val="%6."/>
      <w:lvlJc w:val="right"/>
      <w:pPr>
        <w:ind w:left="4320" w:hanging="180"/>
      </w:pPr>
    </w:lvl>
    <w:lvl w:ilvl="6" w:tplc="6B0AD586">
      <w:start w:val="1"/>
      <w:numFmt w:val="decimal"/>
      <w:lvlText w:val="%7."/>
      <w:lvlJc w:val="left"/>
      <w:pPr>
        <w:ind w:left="5040" w:hanging="360"/>
      </w:pPr>
    </w:lvl>
    <w:lvl w:ilvl="7" w:tplc="F4388F50">
      <w:start w:val="1"/>
      <w:numFmt w:val="lowerLetter"/>
      <w:lvlText w:val="%8."/>
      <w:lvlJc w:val="left"/>
      <w:pPr>
        <w:ind w:left="5760" w:hanging="360"/>
      </w:pPr>
    </w:lvl>
    <w:lvl w:ilvl="8" w:tplc="5EF0A47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D46C8"/>
    <w:multiLevelType w:val="hybridMultilevel"/>
    <w:tmpl w:val="00000000"/>
    <w:lvl w:ilvl="0" w:tplc="55BEAB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color w:val="000000"/>
        <w:sz w:val="24"/>
      </w:rPr>
    </w:lvl>
    <w:lvl w:ilvl="1" w:tplc="80F6BD28">
      <w:start w:val="1"/>
      <w:numFmt w:val="lowerLetter"/>
      <w:lvlText w:val="%2."/>
      <w:lvlJc w:val="left"/>
      <w:pPr>
        <w:ind w:left="1440" w:hanging="360"/>
      </w:pPr>
    </w:lvl>
    <w:lvl w:ilvl="2" w:tplc="32182328">
      <w:start w:val="1"/>
      <w:numFmt w:val="lowerRoman"/>
      <w:lvlText w:val="%3."/>
      <w:lvlJc w:val="right"/>
      <w:pPr>
        <w:ind w:left="2160" w:hanging="180"/>
      </w:pPr>
    </w:lvl>
    <w:lvl w:ilvl="3" w:tplc="02A83DD6">
      <w:start w:val="1"/>
      <w:numFmt w:val="decimal"/>
      <w:lvlText w:val="%4."/>
      <w:lvlJc w:val="left"/>
      <w:pPr>
        <w:ind w:left="2880" w:hanging="360"/>
      </w:pPr>
    </w:lvl>
    <w:lvl w:ilvl="4" w:tplc="96BC2CA8">
      <w:start w:val="1"/>
      <w:numFmt w:val="lowerLetter"/>
      <w:lvlText w:val="%5."/>
      <w:lvlJc w:val="left"/>
      <w:pPr>
        <w:ind w:left="3600" w:hanging="360"/>
      </w:pPr>
    </w:lvl>
    <w:lvl w:ilvl="5" w:tplc="97E6E556">
      <w:start w:val="1"/>
      <w:numFmt w:val="lowerRoman"/>
      <w:lvlText w:val="%6."/>
      <w:lvlJc w:val="right"/>
      <w:pPr>
        <w:ind w:left="4320" w:hanging="180"/>
      </w:pPr>
    </w:lvl>
    <w:lvl w:ilvl="6" w:tplc="C2DADB5E">
      <w:start w:val="1"/>
      <w:numFmt w:val="decimal"/>
      <w:lvlText w:val="%7."/>
      <w:lvlJc w:val="left"/>
      <w:pPr>
        <w:ind w:left="5040" w:hanging="360"/>
      </w:pPr>
    </w:lvl>
    <w:lvl w:ilvl="7" w:tplc="31DE6834">
      <w:start w:val="1"/>
      <w:numFmt w:val="lowerLetter"/>
      <w:lvlText w:val="%8."/>
      <w:lvlJc w:val="left"/>
      <w:pPr>
        <w:ind w:left="5760" w:hanging="360"/>
      </w:pPr>
    </w:lvl>
    <w:lvl w:ilvl="8" w:tplc="3442444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A7C35"/>
    <w:multiLevelType w:val="hybridMultilevel"/>
    <w:tmpl w:val="00000000"/>
    <w:lvl w:ilvl="0" w:tplc="ADD0BB4A">
      <w:start w:val="1"/>
      <w:numFmt w:val="lowerLetter"/>
      <w:lvlText w:val="%1."/>
      <w:lvlJc w:val="left"/>
      <w:pPr>
        <w:ind w:left="642" w:hanging="360"/>
      </w:pPr>
    </w:lvl>
    <w:lvl w:ilvl="1" w:tplc="9AAA10CC">
      <w:start w:val="1"/>
      <w:numFmt w:val="lowerLetter"/>
      <w:lvlText w:val="%2."/>
      <w:lvlJc w:val="left"/>
      <w:pPr>
        <w:ind w:left="1362" w:hanging="360"/>
      </w:pPr>
    </w:lvl>
    <w:lvl w:ilvl="2" w:tplc="A41AE626">
      <w:start w:val="1"/>
      <w:numFmt w:val="lowerRoman"/>
      <w:lvlText w:val="%3."/>
      <w:lvlJc w:val="right"/>
      <w:pPr>
        <w:ind w:left="2082" w:hanging="180"/>
      </w:pPr>
    </w:lvl>
    <w:lvl w:ilvl="3" w:tplc="EC669870">
      <w:start w:val="1"/>
      <w:numFmt w:val="decimal"/>
      <w:lvlText w:val="%4."/>
      <w:lvlJc w:val="left"/>
      <w:pPr>
        <w:ind w:left="2802" w:hanging="360"/>
      </w:pPr>
    </w:lvl>
    <w:lvl w:ilvl="4" w:tplc="9442347E">
      <w:start w:val="1"/>
      <w:numFmt w:val="lowerLetter"/>
      <w:lvlText w:val="%5."/>
      <w:lvlJc w:val="left"/>
      <w:pPr>
        <w:ind w:left="3522" w:hanging="360"/>
      </w:pPr>
    </w:lvl>
    <w:lvl w:ilvl="5" w:tplc="179068FC">
      <w:start w:val="1"/>
      <w:numFmt w:val="lowerRoman"/>
      <w:lvlText w:val="%6."/>
      <w:lvlJc w:val="right"/>
      <w:pPr>
        <w:ind w:left="4242" w:hanging="180"/>
      </w:pPr>
    </w:lvl>
    <w:lvl w:ilvl="6" w:tplc="E182EBF4">
      <w:start w:val="1"/>
      <w:numFmt w:val="decimal"/>
      <w:lvlText w:val="%7."/>
      <w:lvlJc w:val="left"/>
      <w:pPr>
        <w:ind w:left="4962" w:hanging="360"/>
      </w:pPr>
    </w:lvl>
    <w:lvl w:ilvl="7" w:tplc="801AF7AE">
      <w:start w:val="1"/>
      <w:numFmt w:val="lowerLetter"/>
      <w:lvlText w:val="%8."/>
      <w:lvlJc w:val="left"/>
      <w:pPr>
        <w:ind w:left="5682" w:hanging="360"/>
      </w:pPr>
    </w:lvl>
    <w:lvl w:ilvl="8" w:tplc="5EBCCEAA">
      <w:start w:val="1"/>
      <w:numFmt w:val="lowerRoman"/>
      <w:lvlText w:val="%9."/>
      <w:lvlJc w:val="right"/>
      <w:pPr>
        <w:ind w:left="6402" w:hanging="180"/>
      </w:pPr>
    </w:lvl>
  </w:abstractNum>
  <w:abstractNum w:abstractNumId="28" w15:restartNumberingAfterBreak="0">
    <w:nsid w:val="556E12B4"/>
    <w:multiLevelType w:val="hybridMultilevel"/>
    <w:tmpl w:val="00000000"/>
    <w:lvl w:ilvl="0" w:tplc="41640D36">
      <w:start w:val="1"/>
      <w:numFmt w:val="lowerLetter"/>
      <w:lvlText w:val="%1."/>
      <w:lvlJc w:val="left"/>
      <w:pPr>
        <w:ind w:left="1011" w:hanging="360"/>
      </w:pPr>
    </w:lvl>
    <w:lvl w:ilvl="1" w:tplc="2C6C8EE2">
      <w:start w:val="1"/>
      <w:numFmt w:val="lowerLetter"/>
      <w:lvlText w:val="%2."/>
      <w:lvlJc w:val="left"/>
      <w:pPr>
        <w:ind w:left="1731" w:hanging="360"/>
      </w:pPr>
    </w:lvl>
    <w:lvl w:ilvl="2" w:tplc="D52689A8">
      <w:start w:val="1"/>
      <w:numFmt w:val="lowerRoman"/>
      <w:lvlText w:val="%3."/>
      <w:lvlJc w:val="right"/>
      <w:pPr>
        <w:ind w:left="2451" w:hanging="180"/>
      </w:pPr>
    </w:lvl>
    <w:lvl w:ilvl="3" w:tplc="60841B10">
      <w:start w:val="1"/>
      <w:numFmt w:val="decimal"/>
      <w:lvlText w:val="%4."/>
      <w:lvlJc w:val="left"/>
      <w:pPr>
        <w:ind w:left="3171" w:hanging="360"/>
      </w:pPr>
    </w:lvl>
    <w:lvl w:ilvl="4" w:tplc="ACACCBE8">
      <w:start w:val="1"/>
      <w:numFmt w:val="lowerLetter"/>
      <w:lvlText w:val="%5."/>
      <w:lvlJc w:val="left"/>
      <w:pPr>
        <w:ind w:left="3891" w:hanging="360"/>
      </w:pPr>
    </w:lvl>
    <w:lvl w:ilvl="5" w:tplc="FF4220E0">
      <w:start w:val="1"/>
      <w:numFmt w:val="lowerRoman"/>
      <w:lvlText w:val="%6."/>
      <w:lvlJc w:val="right"/>
      <w:pPr>
        <w:ind w:left="4611" w:hanging="180"/>
      </w:pPr>
    </w:lvl>
    <w:lvl w:ilvl="6" w:tplc="9C76F53A">
      <w:start w:val="1"/>
      <w:numFmt w:val="decimal"/>
      <w:lvlText w:val="%7."/>
      <w:lvlJc w:val="left"/>
      <w:pPr>
        <w:ind w:left="5331" w:hanging="360"/>
      </w:pPr>
    </w:lvl>
    <w:lvl w:ilvl="7" w:tplc="7A7C4366">
      <w:start w:val="1"/>
      <w:numFmt w:val="lowerLetter"/>
      <w:lvlText w:val="%8."/>
      <w:lvlJc w:val="left"/>
      <w:pPr>
        <w:ind w:left="6051" w:hanging="360"/>
      </w:pPr>
    </w:lvl>
    <w:lvl w:ilvl="8" w:tplc="EE1E7F70">
      <w:start w:val="1"/>
      <w:numFmt w:val="lowerRoman"/>
      <w:lvlText w:val="%9."/>
      <w:lvlJc w:val="right"/>
      <w:pPr>
        <w:ind w:left="6771" w:hanging="180"/>
      </w:pPr>
    </w:lvl>
  </w:abstractNum>
  <w:abstractNum w:abstractNumId="29" w15:restartNumberingAfterBreak="0">
    <w:nsid w:val="57134DDA"/>
    <w:multiLevelType w:val="hybridMultilevel"/>
    <w:tmpl w:val="00000000"/>
    <w:lvl w:ilvl="0" w:tplc="F23A61C0">
      <w:start w:val="1"/>
      <w:numFmt w:val="decimal"/>
      <w:lvlText w:val="%1."/>
      <w:lvlJc w:val="left"/>
      <w:pPr>
        <w:ind w:left="720" w:hanging="360"/>
      </w:pPr>
    </w:lvl>
    <w:lvl w:ilvl="1" w:tplc="7B6678BA">
      <w:start w:val="1"/>
      <w:numFmt w:val="lowerLetter"/>
      <w:lvlText w:val="%2."/>
      <w:lvlJc w:val="left"/>
      <w:pPr>
        <w:ind w:left="1440" w:hanging="360"/>
      </w:pPr>
    </w:lvl>
    <w:lvl w:ilvl="2" w:tplc="F344FE1E">
      <w:start w:val="1"/>
      <w:numFmt w:val="lowerRoman"/>
      <w:lvlText w:val="%3."/>
      <w:lvlJc w:val="right"/>
      <w:pPr>
        <w:ind w:left="2160" w:hanging="180"/>
      </w:pPr>
    </w:lvl>
    <w:lvl w:ilvl="3" w:tplc="659EFCA4">
      <w:start w:val="1"/>
      <w:numFmt w:val="decimal"/>
      <w:lvlText w:val="%4."/>
      <w:lvlJc w:val="left"/>
      <w:pPr>
        <w:ind w:left="2880" w:hanging="360"/>
      </w:pPr>
    </w:lvl>
    <w:lvl w:ilvl="4" w:tplc="AB02FC04">
      <w:start w:val="1"/>
      <w:numFmt w:val="lowerLetter"/>
      <w:lvlText w:val="%5."/>
      <w:lvlJc w:val="left"/>
      <w:pPr>
        <w:ind w:left="3600" w:hanging="360"/>
      </w:pPr>
    </w:lvl>
    <w:lvl w:ilvl="5" w:tplc="EC72516E">
      <w:start w:val="1"/>
      <w:numFmt w:val="lowerRoman"/>
      <w:lvlText w:val="%6."/>
      <w:lvlJc w:val="right"/>
      <w:pPr>
        <w:ind w:left="4320" w:hanging="180"/>
      </w:pPr>
    </w:lvl>
    <w:lvl w:ilvl="6" w:tplc="59DE0182">
      <w:start w:val="1"/>
      <w:numFmt w:val="decimal"/>
      <w:lvlText w:val="%7."/>
      <w:lvlJc w:val="left"/>
      <w:pPr>
        <w:ind w:left="5040" w:hanging="360"/>
      </w:pPr>
    </w:lvl>
    <w:lvl w:ilvl="7" w:tplc="2F100628">
      <w:start w:val="1"/>
      <w:numFmt w:val="lowerLetter"/>
      <w:lvlText w:val="%8."/>
      <w:lvlJc w:val="left"/>
      <w:pPr>
        <w:ind w:left="5760" w:hanging="360"/>
      </w:pPr>
    </w:lvl>
    <w:lvl w:ilvl="8" w:tplc="ADCC1FF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C7DDD"/>
    <w:multiLevelType w:val="hybridMultilevel"/>
    <w:tmpl w:val="00000000"/>
    <w:lvl w:ilvl="0" w:tplc="F056AEDA">
      <w:start w:val="1"/>
      <w:numFmt w:val="lowerLetter"/>
      <w:lvlText w:val="%1)"/>
      <w:lvlJc w:val="left"/>
      <w:pPr>
        <w:ind w:left="1146" w:hanging="360"/>
      </w:pPr>
    </w:lvl>
    <w:lvl w:ilvl="1" w:tplc="58E6C4C2">
      <w:start w:val="1"/>
      <w:numFmt w:val="lowerLetter"/>
      <w:lvlText w:val="%2."/>
      <w:lvlJc w:val="left"/>
      <w:pPr>
        <w:ind w:left="1866" w:hanging="360"/>
      </w:pPr>
    </w:lvl>
    <w:lvl w:ilvl="2" w:tplc="01567B40">
      <w:start w:val="1"/>
      <w:numFmt w:val="lowerRoman"/>
      <w:lvlText w:val="%3."/>
      <w:lvlJc w:val="right"/>
      <w:pPr>
        <w:ind w:left="2586" w:hanging="180"/>
      </w:pPr>
    </w:lvl>
    <w:lvl w:ilvl="3" w:tplc="E8D272E0">
      <w:start w:val="1"/>
      <w:numFmt w:val="decimal"/>
      <w:lvlText w:val="%4."/>
      <w:lvlJc w:val="left"/>
      <w:pPr>
        <w:ind w:left="3306" w:hanging="360"/>
      </w:pPr>
    </w:lvl>
    <w:lvl w:ilvl="4" w:tplc="62720C0A">
      <w:start w:val="1"/>
      <w:numFmt w:val="lowerLetter"/>
      <w:lvlText w:val="%5."/>
      <w:lvlJc w:val="left"/>
      <w:pPr>
        <w:ind w:left="4026" w:hanging="360"/>
      </w:pPr>
    </w:lvl>
    <w:lvl w:ilvl="5" w:tplc="4804282E">
      <w:start w:val="1"/>
      <w:numFmt w:val="lowerRoman"/>
      <w:lvlText w:val="%6."/>
      <w:lvlJc w:val="right"/>
      <w:pPr>
        <w:ind w:left="4746" w:hanging="180"/>
      </w:pPr>
    </w:lvl>
    <w:lvl w:ilvl="6" w:tplc="CD467478">
      <w:start w:val="1"/>
      <w:numFmt w:val="decimal"/>
      <w:lvlText w:val="%7."/>
      <w:lvlJc w:val="left"/>
      <w:pPr>
        <w:ind w:left="5466" w:hanging="360"/>
      </w:pPr>
    </w:lvl>
    <w:lvl w:ilvl="7" w:tplc="B28402F4">
      <w:start w:val="1"/>
      <w:numFmt w:val="lowerLetter"/>
      <w:lvlText w:val="%8."/>
      <w:lvlJc w:val="left"/>
      <w:pPr>
        <w:ind w:left="6186" w:hanging="360"/>
      </w:pPr>
    </w:lvl>
    <w:lvl w:ilvl="8" w:tplc="BBA0A23A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13859CD"/>
    <w:multiLevelType w:val="hybridMultilevel"/>
    <w:tmpl w:val="00000000"/>
    <w:lvl w:ilvl="0" w:tplc="D55CAE16">
      <w:start w:val="1"/>
      <w:numFmt w:val="decimal"/>
      <w:lvlText w:val="%1."/>
      <w:lvlJc w:val="left"/>
      <w:pPr>
        <w:ind w:left="360" w:hanging="360"/>
      </w:pPr>
    </w:lvl>
    <w:lvl w:ilvl="1" w:tplc="008C4816">
      <w:start w:val="1"/>
      <w:numFmt w:val="lowerLetter"/>
      <w:lvlText w:val="%2)"/>
      <w:lvlJc w:val="left"/>
      <w:pPr>
        <w:ind w:left="1080" w:hanging="360"/>
      </w:pPr>
    </w:lvl>
    <w:lvl w:ilvl="2" w:tplc="EA4E3306">
      <w:start w:val="1"/>
      <w:numFmt w:val="lowerRoman"/>
      <w:lvlText w:val="%3."/>
      <w:lvlJc w:val="right"/>
      <w:pPr>
        <w:ind w:left="1800" w:hanging="180"/>
      </w:pPr>
    </w:lvl>
    <w:lvl w:ilvl="3" w:tplc="C2C80E94">
      <w:start w:val="1"/>
      <w:numFmt w:val="decimal"/>
      <w:lvlText w:val="%4."/>
      <w:lvlJc w:val="left"/>
      <w:pPr>
        <w:ind w:left="2520" w:hanging="360"/>
      </w:pPr>
    </w:lvl>
    <w:lvl w:ilvl="4" w:tplc="823E130A">
      <w:start w:val="1"/>
      <w:numFmt w:val="lowerLetter"/>
      <w:lvlText w:val="%5."/>
      <w:lvlJc w:val="left"/>
      <w:pPr>
        <w:ind w:left="3240" w:hanging="360"/>
      </w:pPr>
    </w:lvl>
    <w:lvl w:ilvl="5" w:tplc="A4F0F814">
      <w:start w:val="1"/>
      <w:numFmt w:val="lowerRoman"/>
      <w:lvlText w:val="%6."/>
      <w:lvlJc w:val="right"/>
      <w:pPr>
        <w:ind w:left="3960" w:hanging="180"/>
      </w:pPr>
    </w:lvl>
    <w:lvl w:ilvl="6" w:tplc="C6F8C8B8">
      <w:start w:val="1"/>
      <w:numFmt w:val="decimal"/>
      <w:lvlText w:val="%7."/>
      <w:lvlJc w:val="left"/>
      <w:pPr>
        <w:ind w:left="4680" w:hanging="360"/>
      </w:pPr>
    </w:lvl>
    <w:lvl w:ilvl="7" w:tplc="BCE0563C">
      <w:start w:val="1"/>
      <w:numFmt w:val="lowerLetter"/>
      <w:lvlText w:val="%8."/>
      <w:lvlJc w:val="left"/>
      <w:pPr>
        <w:ind w:left="5400" w:hanging="360"/>
      </w:pPr>
    </w:lvl>
    <w:lvl w:ilvl="8" w:tplc="9B2214C4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A558E0"/>
    <w:multiLevelType w:val="hybridMultilevel"/>
    <w:tmpl w:val="00000000"/>
    <w:lvl w:ilvl="0" w:tplc="E3A606C2">
      <w:start w:val="1"/>
      <w:numFmt w:val="upperLetter"/>
      <w:lvlText w:val="%1."/>
      <w:lvlJc w:val="left"/>
      <w:pPr>
        <w:ind w:left="1146" w:hanging="360"/>
      </w:pPr>
    </w:lvl>
    <w:lvl w:ilvl="1" w:tplc="BE88FC36">
      <w:start w:val="1"/>
      <w:numFmt w:val="lowerLetter"/>
      <w:lvlText w:val="%2."/>
      <w:lvlJc w:val="left"/>
      <w:pPr>
        <w:ind w:left="1866" w:hanging="360"/>
      </w:pPr>
    </w:lvl>
    <w:lvl w:ilvl="2" w:tplc="2B76C7C2">
      <w:start w:val="1"/>
      <w:numFmt w:val="lowerRoman"/>
      <w:lvlText w:val="%3."/>
      <w:lvlJc w:val="right"/>
      <w:pPr>
        <w:ind w:left="2586" w:hanging="180"/>
      </w:pPr>
    </w:lvl>
    <w:lvl w:ilvl="3" w:tplc="19C4C7AC">
      <w:start w:val="1"/>
      <w:numFmt w:val="decimal"/>
      <w:lvlText w:val="%4."/>
      <w:lvlJc w:val="left"/>
      <w:pPr>
        <w:ind w:left="3306" w:hanging="360"/>
      </w:pPr>
    </w:lvl>
    <w:lvl w:ilvl="4" w:tplc="9E661686">
      <w:start w:val="1"/>
      <w:numFmt w:val="lowerLetter"/>
      <w:lvlText w:val="%5."/>
      <w:lvlJc w:val="left"/>
      <w:pPr>
        <w:ind w:left="4026" w:hanging="360"/>
      </w:pPr>
    </w:lvl>
    <w:lvl w:ilvl="5" w:tplc="8B501608">
      <w:start w:val="1"/>
      <w:numFmt w:val="lowerRoman"/>
      <w:lvlText w:val="%6."/>
      <w:lvlJc w:val="right"/>
      <w:pPr>
        <w:ind w:left="4746" w:hanging="180"/>
      </w:pPr>
    </w:lvl>
    <w:lvl w:ilvl="6" w:tplc="73AC3146">
      <w:start w:val="1"/>
      <w:numFmt w:val="decimal"/>
      <w:lvlText w:val="%7."/>
      <w:lvlJc w:val="left"/>
      <w:pPr>
        <w:ind w:left="5466" w:hanging="360"/>
      </w:pPr>
    </w:lvl>
    <w:lvl w:ilvl="7" w:tplc="A1AA8490">
      <w:start w:val="1"/>
      <w:numFmt w:val="lowerLetter"/>
      <w:lvlText w:val="%8."/>
      <w:lvlJc w:val="left"/>
      <w:pPr>
        <w:ind w:left="6186" w:hanging="360"/>
      </w:pPr>
    </w:lvl>
    <w:lvl w:ilvl="8" w:tplc="EA0A3318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8850F89"/>
    <w:multiLevelType w:val="hybridMultilevel"/>
    <w:tmpl w:val="00000000"/>
    <w:lvl w:ilvl="0" w:tplc="3F9CD6E6">
      <w:start w:val="1"/>
      <w:numFmt w:val="decimal"/>
      <w:lvlText w:val="%1."/>
      <w:lvlJc w:val="left"/>
      <w:pPr>
        <w:ind w:left="720" w:hanging="360"/>
      </w:pPr>
    </w:lvl>
    <w:lvl w:ilvl="1" w:tplc="BC5E062E">
      <w:start w:val="1"/>
      <w:numFmt w:val="lowerLetter"/>
      <w:lvlText w:val="%2."/>
      <w:lvlJc w:val="left"/>
      <w:pPr>
        <w:ind w:left="1440" w:hanging="360"/>
      </w:pPr>
    </w:lvl>
    <w:lvl w:ilvl="2" w:tplc="9620EAA0">
      <w:start w:val="1"/>
      <w:numFmt w:val="lowerRoman"/>
      <w:lvlText w:val="%3."/>
      <w:lvlJc w:val="right"/>
      <w:pPr>
        <w:ind w:left="2160" w:hanging="180"/>
      </w:pPr>
    </w:lvl>
    <w:lvl w:ilvl="3" w:tplc="9C5AC054">
      <w:start w:val="1"/>
      <w:numFmt w:val="decimal"/>
      <w:lvlText w:val="%4."/>
      <w:lvlJc w:val="left"/>
      <w:pPr>
        <w:ind w:left="2880" w:hanging="360"/>
      </w:pPr>
    </w:lvl>
    <w:lvl w:ilvl="4" w:tplc="FF96AFBA">
      <w:start w:val="1"/>
      <w:numFmt w:val="lowerLetter"/>
      <w:lvlText w:val="%5."/>
      <w:lvlJc w:val="left"/>
      <w:pPr>
        <w:ind w:left="3600" w:hanging="360"/>
      </w:pPr>
    </w:lvl>
    <w:lvl w:ilvl="5" w:tplc="EF1A6A84">
      <w:start w:val="1"/>
      <w:numFmt w:val="lowerRoman"/>
      <w:lvlText w:val="%6."/>
      <w:lvlJc w:val="right"/>
      <w:pPr>
        <w:ind w:left="4320" w:hanging="180"/>
      </w:pPr>
    </w:lvl>
    <w:lvl w:ilvl="6" w:tplc="B7C48E2E">
      <w:start w:val="1"/>
      <w:numFmt w:val="decimal"/>
      <w:lvlText w:val="%7."/>
      <w:lvlJc w:val="left"/>
      <w:pPr>
        <w:ind w:left="5040" w:hanging="360"/>
      </w:pPr>
    </w:lvl>
    <w:lvl w:ilvl="7" w:tplc="0D887062">
      <w:start w:val="1"/>
      <w:numFmt w:val="lowerLetter"/>
      <w:lvlText w:val="%8."/>
      <w:lvlJc w:val="left"/>
      <w:pPr>
        <w:ind w:left="5760" w:hanging="360"/>
      </w:pPr>
    </w:lvl>
    <w:lvl w:ilvl="8" w:tplc="E4F8B24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83191"/>
    <w:multiLevelType w:val="hybridMultilevel"/>
    <w:tmpl w:val="00000000"/>
    <w:lvl w:ilvl="0" w:tplc="E1BA2C4C">
      <w:start w:val="1"/>
      <w:numFmt w:val="decimal"/>
      <w:lvlText w:val="%1."/>
      <w:lvlJc w:val="left"/>
      <w:pPr>
        <w:ind w:left="720" w:hanging="360"/>
      </w:pPr>
    </w:lvl>
    <w:lvl w:ilvl="1" w:tplc="ADE00632">
      <w:start w:val="1"/>
      <w:numFmt w:val="lowerLetter"/>
      <w:lvlText w:val="%2."/>
      <w:lvlJc w:val="left"/>
      <w:pPr>
        <w:ind w:left="1440" w:hanging="360"/>
      </w:pPr>
    </w:lvl>
    <w:lvl w:ilvl="2" w:tplc="214232D4">
      <w:start w:val="1"/>
      <w:numFmt w:val="lowerRoman"/>
      <w:lvlText w:val="%3."/>
      <w:lvlJc w:val="right"/>
      <w:pPr>
        <w:ind w:left="2160" w:hanging="180"/>
      </w:pPr>
    </w:lvl>
    <w:lvl w:ilvl="3" w:tplc="74C63042">
      <w:start w:val="1"/>
      <w:numFmt w:val="decimal"/>
      <w:lvlText w:val="%4."/>
      <w:lvlJc w:val="left"/>
      <w:pPr>
        <w:ind w:left="2880" w:hanging="360"/>
      </w:pPr>
    </w:lvl>
    <w:lvl w:ilvl="4" w:tplc="B37ACC86">
      <w:start w:val="1"/>
      <w:numFmt w:val="lowerLetter"/>
      <w:lvlText w:val="%5."/>
      <w:lvlJc w:val="left"/>
      <w:pPr>
        <w:ind w:left="3600" w:hanging="360"/>
      </w:pPr>
    </w:lvl>
    <w:lvl w:ilvl="5" w:tplc="A728233E">
      <w:start w:val="1"/>
      <w:numFmt w:val="lowerRoman"/>
      <w:lvlText w:val="%6."/>
      <w:lvlJc w:val="right"/>
      <w:pPr>
        <w:ind w:left="4320" w:hanging="180"/>
      </w:pPr>
    </w:lvl>
    <w:lvl w:ilvl="6" w:tplc="5F2C8788">
      <w:start w:val="1"/>
      <w:numFmt w:val="decimal"/>
      <w:lvlText w:val="%7."/>
      <w:lvlJc w:val="left"/>
      <w:pPr>
        <w:ind w:left="5040" w:hanging="360"/>
      </w:pPr>
    </w:lvl>
    <w:lvl w:ilvl="7" w:tplc="DDF0DB20">
      <w:start w:val="1"/>
      <w:numFmt w:val="lowerLetter"/>
      <w:lvlText w:val="%8."/>
      <w:lvlJc w:val="left"/>
      <w:pPr>
        <w:ind w:left="5760" w:hanging="360"/>
      </w:pPr>
    </w:lvl>
    <w:lvl w:ilvl="8" w:tplc="1C96F34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2276A"/>
    <w:multiLevelType w:val="hybridMultilevel"/>
    <w:tmpl w:val="00000000"/>
    <w:lvl w:ilvl="0" w:tplc="8016736A">
      <w:start w:val="1"/>
      <w:numFmt w:val="lowerLetter"/>
      <w:lvlText w:val="%1."/>
      <w:lvlJc w:val="left"/>
      <w:pPr>
        <w:ind w:left="720" w:hanging="360"/>
      </w:pPr>
    </w:lvl>
    <w:lvl w:ilvl="1" w:tplc="36EEBEBA">
      <w:start w:val="1"/>
      <w:numFmt w:val="lowerLetter"/>
      <w:lvlText w:val="%2."/>
      <w:lvlJc w:val="left"/>
      <w:pPr>
        <w:ind w:left="1440" w:hanging="360"/>
      </w:pPr>
    </w:lvl>
    <w:lvl w:ilvl="2" w:tplc="6FA8E600">
      <w:start w:val="1"/>
      <w:numFmt w:val="lowerRoman"/>
      <w:lvlText w:val="%3."/>
      <w:lvlJc w:val="right"/>
      <w:pPr>
        <w:ind w:left="2160" w:hanging="180"/>
      </w:pPr>
    </w:lvl>
    <w:lvl w:ilvl="3" w:tplc="210893F6">
      <w:start w:val="1"/>
      <w:numFmt w:val="decimal"/>
      <w:lvlText w:val="%4."/>
      <w:lvlJc w:val="left"/>
      <w:pPr>
        <w:ind w:left="2880" w:hanging="360"/>
      </w:pPr>
    </w:lvl>
    <w:lvl w:ilvl="4" w:tplc="B338F096">
      <w:start w:val="1"/>
      <w:numFmt w:val="lowerLetter"/>
      <w:lvlText w:val="%5."/>
      <w:lvlJc w:val="left"/>
      <w:pPr>
        <w:ind w:left="3600" w:hanging="360"/>
      </w:pPr>
    </w:lvl>
    <w:lvl w:ilvl="5" w:tplc="6CCAFAB8">
      <w:start w:val="1"/>
      <w:numFmt w:val="lowerRoman"/>
      <w:lvlText w:val="%6."/>
      <w:lvlJc w:val="right"/>
      <w:pPr>
        <w:ind w:left="4320" w:hanging="180"/>
      </w:pPr>
    </w:lvl>
    <w:lvl w:ilvl="6" w:tplc="0D34EA14">
      <w:start w:val="1"/>
      <w:numFmt w:val="decimal"/>
      <w:lvlText w:val="%7."/>
      <w:lvlJc w:val="left"/>
      <w:pPr>
        <w:ind w:left="5040" w:hanging="360"/>
      </w:pPr>
    </w:lvl>
    <w:lvl w:ilvl="7" w:tplc="822C75B2">
      <w:start w:val="1"/>
      <w:numFmt w:val="lowerLetter"/>
      <w:lvlText w:val="%8."/>
      <w:lvlJc w:val="left"/>
      <w:pPr>
        <w:ind w:left="5760" w:hanging="360"/>
      </w:pPr>
    </w:lvl>
    <w:lvl w:ilvl="8" w:tplc="CCAC684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95CB3"/>
    <w:multiLevelType w:val="hybridMultilevel"/>
    <w:tmpl w:val="00000000"/>
    <w:lvl w:ilvl="0" w:tplc="A09AB02C">
      <w:start w:val="1"/>
      <w:numFmt w:val="lowerLetter"/>
      <w:lvlText w:val="%1)"/>
      <w:lvlJc w:val="left"/>
      <w:pPr>
        <w:ind w:left="1429" w:hanging="360"/>
      </w:pPr>
    </w:lvl>
    <w:lvl w:ilvl="1" w:tplc="34E0F106">
      <w:start w:val="1"/>
      <w:numFmt w:val="lowerLetter"/>
      <w:lvlText w:val="%2."/>
      <w:lvlJc w:val="left"/>
      <w:pPr>
        <w:ind w:left="2149" w:hanging="360"/>
      </w:pPr>
    </w:lvl>
    <w:lvl w:ilvl="2" w:tplc="15CC981C">
      <w:start w:val="1"/>
      <w:numFmt w:val="lowerRoman"/>
      <w:lvlText w:val="%3."/>
      <w:lvlJc w:val="right"/>
      <w:pPr>
        <w:ind w:left="2869" w:hanging="180"/>
      </w:pPr>
    </w:lvl>
    <w:lvl w:ilvl="3" w:tplc="08723CB0">
      <w:start w:val="1"/>
      <w:numFmt w:val="decimal"/>
      <w:lvlText w:val="%4."/>
      <w:lvlJc w:val="left"/>
      <w:pPr>
        <w:ind w:left="3589" w:hanging="360"/>
      </w:pPr>
    </w:lvl>
    <w:lvl w:ilvl="4" w:tplc="90D49732">
      <w:start w:val="1"/>
      <w:numFmt w:val="lowerLetter"/>
      <w:lvlText w:val="%5."/>
      <w:lvlJc w:val="left"/>
      <w:pPr>
        <w:ind w:left="4309" w:hanging="360"/>
      </w:pPr>
    </w:lvl>
    <w:lvl w:ilvl="5" w:tplc="F2425BCE">
      <w:start w:val="1"/>
      <w:numFmt w:val="lowerRoman"/>
      <w:lvlText w:val="%6."/>
      <w:lvlJc w:val="right"/>
      <w:pPr>
        <w:ind w:left="5029" w:hanging="180"/>
      </w:pPr>
    </w:lvl>
    <w:lvl w:ilvl="6" w:tplc="57EEA150">
      <w:start w:val="1"/>
      <w:numFmt w:val="decimal"/>
      <w:lvlText w:val="%7."/>
      <w:lvlJc w:val="left"/>
      <w:pPr>
        <w:ind w:left="5749" w:hanging="360"/>
      </w:pPr>
    </w:lvl>
    <w:lvl w:ilvl="7" w:tplc="FE0226FC">
      <w:start w:val="1"/>
      <w:numFmt w:val="lowerLetter"/>
      <w:lvlText w:val="%8."/>
      <w:lvlJc w:val="left"/>
      <w:pPr>
        <w:ind w:left="6469" w:hanging="360"/>
      </w:pPr>
    </w:lvl>
    <w:lvl w:ilvl="8" w:tplc="D540B396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785748B"/>
    <w:multiLevelType w:val="hybridMultilevel"/>
    <w:tmpl w:val="00000000"/>
    <w:lvl w:ilvl="0" w:tplc="EEC46E7C">
      <w:start w:val="2"/>
      <w:numFmt w:val="decimal"/>
      <w:lvlText w:val="%1."/>
      <w:lvlJc w:val="left"/>
      <w:pPr>
        <w:ind w:left="720" w:hanging="360"/>
      </w:pPr>
    </w:lvl>
    <w:lvl w:ilvl="1" w:tplc="2E1C59DC">
      <w:start w:val="1"/>
      <w:numFmt w:val="lowerLetter"/>
      <w:lvlText w:val="%2."/>
      <w:lvlJc w:val="left"/>
      <w:pPr>
        <w:ind w:left="1440" w:hanging="360"/>
      </w:pPr>
    </w:lvl>
    <w:lvl w:ilvl="2" w:tplc="C19899F8">
      <w:start w:val="1"/>
      <w:numFmt w:val="lowerRoman"/>
      <w:lvlText w:val="%3."/>
      <w:lvlJc w:val="right"/>
      <w:pPr>
        <w:ind w:left="2160" w:hanging="180"/>
      </w:pPr>
    </w:lvl>
    <w:lvl w:ilvl="3" w:tplc="4182ACF6">
      <w:start w:val="1"/>
      <w:numFmt w:val="decimal"/>
      <w:lvlText w:val="%4."/>
      <w:lvlJc w:val="left"/>
      <w:pPr>
        <w:ind w:left="2880" w:hanging="360"/>
      </w:pPr>
    </w:lvl>
    <w:lvl w:ilvl="4" w:tplc="FF9A4BB8">
      <w:start w:val="1"/>
      <w:numFmt w:val="lowerLetter"/>
      <w:lvlText w:val="%5."/>
      <w:lvlJc w:val="left"/>
      <w:pPr>
        <w:ind w:left="3600" w:hanging="360"/>
      </w:pPr>
    </w:lvl>
    <w:lvl w:ilvl="5" w:tplc="30048A5C">
      <w:start w:val="1"/>
      <w:numFmt w:val="lowerRoman"/>
      <w:lvlText w:val="%6."/>
      <w:lvlJc w:val="right"/>
      <w:pPr>
        <w:ind w:left="4320" w:hanging="180"/>
      </w:pPr>
    </w:lvl>
    <w:lvl w:ilvl="6" w:tplc="85429844">
      <w:start w:val="1"/>
      <w:numFmt w:val="decimal"/>
      <w:lvlText w:val="%7."/>
      <w:lvlJc w:val="left"/>
      <w:pPr>
        <w:ind w:left="5040" w:hanging="360"/>
      </w:pPr>
    </w:lvl>
    <w:lvl w:ilvl="7" w:tplc="01C66D68">
      <w:start w:val="1"/>
      <w:numFmt w:val="lowerLetter"/>
      <w:lvlText w:val="%8."/>
      <w:lvlJc w:val="left"/>
      <w:pPr>
        <w:ind w:left="5760" w:hanging="360"/>
      </w:pPr>
    </w:lvl>
    <w:lvl w:ilvl="8" w:tplc="BDF0345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9"/>
  </w:num>
  <w:num w:numId="3">
    <w:abstractNumId w:val="5"/>
  </w:num>
  <w:num w:numId="4">
    <w:abstractNumId w:val="1"/>
  </w:num>
  <w:num w:numId="5">
    <w:abstractNumId w:val="37"/>
  </w:num>
  <w:num w:numId="6">
    <w:abstractNumId w:val="14"/>
  </w:num>
  <w:num w:numId="7">
    <w:abstractNumId w:val="28"/>
  </w:num>
  <w:num w:numId="8">
    <w:abstractNumId w:val="16"/>
  </w:num>
  <w:num w:numId="9">
    <w:abstractNumId w:val="12"/>
  </w:num>
  <w:num w:numId="10">
    <w:abstractNumId w:val="27"/>
  </w:num>
  <w:num w:numId="11">
    <w:abstractNumId w:val="8"/>
  </w:num>
  <w:num w:numId="12">
    <w:abstractNumId w:val="17"/>
  </w:num>
  <w:num w:numId="13">
    <w:abstractNumId w:val="34"/>
  </w:num>
  <w:num w:numId="14">
    <w:abstractNumId w:val="20"/>
  </w:num>
  <w:num w:numId="15">
    <w:abstractNumId w:val="33"/>
  </w:num>
  <w:num w:numId="16">
    <w:abstractNumId w:val="32"/>
  </w:num>
  <w:num w:numId="17">
    <w:abstractNumId w:val="23"/>
  </w:num>
  <w:num w:numId="18">
    <w:abstractNumId w:val="36"/>
  </w:num>
  <w:num w:numId="19">
    <w:abstractNumId w:val="7"/>
  </w:num>
  <w:num w:numId="20">
    <w:abstractNumId w:val="29"/>
  </w:num>
  <w:num w:numId="21">
    <w:abstractNumId w:val="0"/>
  </w:num>
  <w:num w:numId="22">
    <w:abstractNumId w:val="30"/>
  </w:num>
  <w:num w:numId="23">
    <w:abstractNumId w:val="15"/>
  </w:num>
  <w:num w:numId="24">
    <w:abstractNumId w:val="25"/>
  </w:num>
  <w:num w:numId="25">
    <w:abstractNumId w:val="21"/>
  </w:num>
  <w:num w:numId="26">
    <w:abstractNumId w:val="9"/>
  </w:num>
  <w:num w:numId="27">
    <w:abstractNumId w:val="22"/>
  </w:num>
  <w:num w:numId="28">
    <w:abstractNumId w:val="26"/>
  </w:num>
  <w:num w:numId="29">
    <w:abstractNumId w:val="18"/>
  </w:num>
  <w:num w:numId="30">
    <w:abstractNumId w:val="10"/>
  </w:num>
  <w:num w:numId="31">
    <w:abstractNumId w:val="13"/>
  </w:num>
  <w:num w:numId="32">
    <w:abstractNumId w:val="35"/>
  </w:num>
  <w:num w:numId="33">
    <w:abstractNumId w:val="2"/>
  </w:num>
  <w:num w:numId="34">
    <w:abstractNumId w:val="24"/>
  </w:num>
  <w:num w:numId="35">
    <w:abstractNumId w:val="4"/>
  </w:num>
  <w:num w:numId="36">
    <w:abstractNumId w:val="3"/>
  </w:num>
  <w:num w:numId="37">
    <w:abstractNumId w:val="6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42A4D"/>
    <w:rsid w:val="00595752"/>
    <w:rsid w:val="005C6F90"/>
    <w:rsid w:val="009C7753"/>
    <w:rsid w:val="00A77B3E"/>
    <w:rsid w:val="00AC5FCD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C0589"/>
  <w15:docId w15:val="{06B1B331-C3DB-4200-9BB3-ECFAB442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0"/>
      <w:lang w:val="en-US" w:eastAsia="en-US" w:bidi="en-US"/>
    </w:rPr>
  </w:style>
  <w:style w:type="character" w:styleId="Pogrubienie">
    <w:name w:val="Strong"/>
    <w:qFormat/>
    <w:rPr>
      <w:b/>
    </w:rPr>
  </w:style>
  <w:style w:type="paragraph" w:styleId="Bezodstpw">
    <w:name w:val="No Spacing"/>
    <w:qFormat/>
    <w:rPr>
      <w:rFonts w:ascii="Calibri" w:hAnsi="Calibri"/>
      <w:sz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6304</Words>
  <Characters>37827</Characters>
  <Application>Microsoft Office Word</Application>
  <DocSecurity>0</DocSecurity>
  <Lines>315</Lines>
  <Paragraphs>88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44043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oceny sytuacji ekonomiczno-finansowej
samodzielnego publicznego zakładu opieki zdrowotnej o nazwie Miejskie Centrum Medyczne „Górna” w Łodzi, na podstawie raportu o sytuacji
ekonomiczno-finansowej za rok 2024.</dc:subject>
  <dc:creator>adomanska</dc:creator>
  <cp:lastModifiedBy>Małgorzata Wójcik</cp:lastModifiedBy>
  <cp:revision>2</cp:revision>
  <dcterms:created xsi:type="dcterms:W3CDTF">2025-12-05T12:07:00Z</dcterms:created>
  <dcterms:modified xsi:type="dcterms:W3CDTF">2025-12-05T12:07:00Z</dcterms:modified>
  <cp:category>Akt prawny</cp:category>
</cp:coreProperties>
</file>