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C538B" w14:textId="189AC5F3" w:rsidR="00A77B3E" w:rsidRDefault="00D12C8A" w:rsidP="00D12C8A">
      <w:pPr>
        <w:ind w:left="5670"/>
        <w:jc w:val="left"/>
      </w:pPr>
      <w:r>
        <w:t>Druk Nr 304/2025</w:t>
      </w:r>
      <w:r>
        <w:t xml:space="preserve">  </w:t>
      </w:r>
    </w:p>
    <w:p w14:paraId="17FDD14B" w14:textId="04A8B2A7" w:rsidR="00A77B3E" w:rsidRDefault="00D12C8A" w:rsidP="00D12C8A">
      <w:pPr>
        <w:ind w:left="5670"/>
        <w:jc w:val="left"/>
      </w:pPr>
      <w:r>
        <w:t>Projekt z dnia 22 grudnia 2025 r.</w:t>
      </w:r>
    </w:p>
    <w:p w14:paraId="7F52DCE5" w14:textId="77777777" w:rsidR="00A77B3E" w:rsidRDefault="00A77B3E">
      <w:pPr>
        <w:ind w:left="6236"/>
        <w:jc w:val="left"/>
      </w:pPr>
    </w:p>
    <w:p w14:paraId="28F1354E" w14:textId="63C5A60A" w:rsidR="00A77B3E" w:rsidRDefault="00D12C8A">
      <w:pPr>
        <w:jc w:val="center"/>
        <w:rPr>
          <w:b/>
          <w:caps/>
        </w:rPr>
      </w:pPr>
      <w:bookmarkStart w:id="0" w:name="_GoBack"/>
      <w:r>
        <w:rPr>
          <w:b/>
          <w:caps/>
        </w:rPr>
        <w:t>Uchwała nr</w:t>
      </w:r>
      <w:r w:rsidR="00514CCD">
        <w:rPr>
          <w:b/>
          <w:caps/>
        </w:rPr>
        <w:t>                     </w:t>
      </w:r>
      <w:r w:rsidR="0054174C">
        <w:rPr>
          <w:b/>
          <w:caps/>
        </w:rPr>
        <w:t xml:space="preserve"> </w:t>
      </w:r>
      <w:r>
        <w:rPr>
          <w:b/>
          <w:caps/>
        </w:rPr>
        <w:br/>
      </w:r>
      <w:bookmarkEnd w:id="0"/>
      <w:r>
        <w:rPr>
          <w:b/>
          <w:caps/>
        </w:rPr>
        <w:t>Rady Miejskiej w Łodzi</w:t>
      </w:r>
    </w:p>
    <w:p w14:paraId="4896AB68" w14:textId="77777777" w:rsidR="00A77B3E" w:rsidRDefault="00D12C8A">
      <w:pPr>
        <w:spacing w:after="240"/>
        <w:jc w:val="center"/>
        <w:rPr>
          <w:b/>
          <w:caps/>
        </w:rPr>
      </w:pPr>
      <w:r>
        <w:rPr>
          <w:b/>
        </w:rPr>
        <w:t>z dnia .................... .... r.</w:t>
      </w:r>
    </w:p>
    <w:p w14:paraId="573A85DA" w14:textId="77777777" w:rsidR="00A77B3E" w:rsidRDefault="00D12C8A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ulic: </w:t>
      </w:r>
      <w:r>
        <w:rPr>
          <w:b/>
        </w:rPr>
        <w:t>Piotrkowskiej, Romualda Traugutta i Stanisława Moniuszki.</w:t>
      </w:r>
    </w:p>
    <w:p w14:paraId="7B2DEA90" w14:textId="77777777" w:rsidR="00A77B3E" w:rsidRDefault="00D12C8A">
      <w:pPr>
        <w:spacing w:before="120" w:after="120"/>
        <w:ind w:firstLine="567"/>
      </w:pPr>
      <w:r>
        <w:t>Na podstawie art. 18 ust. 2 pkt 5 i art. 40 ust. 1 ustawy z dnia 8 marca 1990 r. o samorządzie gminnym (Dz. U. z 2025 r. poz. 1153 i 1436) oraz art. 14 ust. 8 i art. 20 ust. 1 ustawy z dnia 27 marca</w:t>
      </w:r>
      <w:r>
        <w:t xml:space="preserve"> 2003 r. o planowaniu i zagospodarowaniu przestrzennym (Dz. U. z 2024 r. poz. 1130, 1907 i 1940 oraz z 2025 r. poz. 527, 680 i 1668), w związku z art. 67 ust. 3 pkt 2 ustawy z dnia 7 lipca 2023 r. o zmianie ustawy o planowaniu i zagospodarowaniu przestrzen</w:t>
      </w:r>
      <w:r>
        <w:t>nym oraz niektórych innych ustaw (Dz. U. poz. 1688, z 2024 r. poz. 1824 oraz z 2025 r. poz. 527, 1543 i 1668), Rada Miejska w Łodzi</w:t>
      </w:r>
    </w:p>
    <w:p w14:paraId="2B8C8582" w14:textId="77777777" w:rsidR="00A77B3E" w:rsidRDefault="00D12C8A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48EA94FB" w14:textId="77777777" w:rsidR="00A77B3E" w:rsidRDefault="00D12C8A">
      <w:pPr>
        <w:keepNext/>
        <w:spacing w:before="480" w:after="4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6A624955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1. 1. Przedmiotem uchwały są ustalenia miejscowego planu zagospodarowani</w:t>
      </w:r>
      <w:r>
        <w:t>a przestrzennego dla części obszaru miasta Łodzi położonej w rejonie ulic: Piotrkowskiej, Romualda Traugutta i Stanisława Moniuszki, zwanego dalej „planem”, wraz z integralnymi jej częściami w postaci:</w:t>
      </w:r>
    </w:p>
    <w:p w14:paraId="57A42E26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 skali 1:1000, stanowiącego załączni</w:t>
      </w:r>
      <w:r>
        <w:rPr>
          <w:color w:val="000000"/>
          <w:u w:color="000000"/>
        </w:rPr>
        <w:t>k Nr 1 do uchwały;</w:t>
      </w:r>
    </w:p>
    <w:p w14:paraId="508B53B3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złożonych w trakcie konsultacji społecznych, stanowiącego załącznik Nr 2 do uchwały;</w:t>
      </w:r>
    </w:p>
    <w:p w14:paraId="0C16E973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</w:t>
      </w:r>
      <w:r>
        <w:rPr>
          <w:color w:val="000000"/>
          <w:u w:color="000000"/>
        </w:rPr>
        <w:t>frastruktury technicznej, które należą do zadań własnych gminy oraz zasadach ich finansowania, zgodnie z przepisami o finansach publicznych, stanowiącego załącznik Nr 3 do uchwały.</w:t>
      </w:r>
    </w:p>
    <w:p w14:paraId="66069813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</w:t>
      </w:r>
      <w:r>
        <w:rPr>
          <w:color w:val="000000"/>
          <w:u w:color="000000"/>
        </w:rPr>
        <w:t>a w ust. 1 pkt 1.</w:t>
      </w:r>
    </w:p>
    <w:p w14:paraId="2604ECB1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 LXIX/1753/18 Rady Miejskiej w Łodzi z dnia 28 marca 2018 r. zmienioną uchwałami Rady Mie</w:t>
      </w:r>
      <w:r>
        <w:rPr>
          <w:color w:val="000000"/>
          <w:u w:color="000000"/>
        </w:rPr>
        <w:t>jskiej w Łodzi Nr VI/215/19 z dnia 6 marca 2019 r. i Nr LII/1605/21 z dnia 22 grudnia 2021 r.</w:t>
      </w:r>
    </w:p>
    <w:p w14:paraId="25F90956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14:paraId="5DE7E336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14:paraId="24046696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wymagań wynikających z</w:t>
      </w:r>
      <w:r>
        <w:rPr>
          <w:color w:val="000000"/>
          <w:u w:color="000000"/>
        </w:rPr>
        <w:t> potrzeb kształtowania przestrzeni publicznych;</w:t>
      </w:r>
    </w:p>
    <w:p w14:paraId="57E04568" w14:textId="77777777" w:rsidR="00A77B3E" w:rsidRDefault="00D12C8A">
      <w:pPr>
        <w:ind w:left="227" w:hanging="283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granic i sposobów zagospodarowania terenów lub obiektów podlegających ochronie, na podstawie odrębnych przepisów, terenów górniczych, a także obszarów szczególnego zagrożenia powodzią, obszarów osuwania si</w:t>
      </w:r>
      <w:r>
        <w:rPr>
          <w:color w:val="000000"/>
          <w:u w:color="000000"/>
        </w:rPr>
        <w:t>ę mas ziemnych;</w:t>
      </w:r>
    </w:p>
    <w:p w14:paraId="51D39A78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3DD9D8D1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14:paraId="695FA0FE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dach mansardowy – dach o łamanej połaci, której niższa część ma spadek większy niż </w:t>
      </w:r>
      <w:r>
        <w:rPr>
          <w:color w:val="000000"/>
          <w:u w:color="000000"/>
        </w:rPr>
        <w:t>60º, a wyższa – spadek mniejszy niż 30º;</w:t>
      </w:r>
    </w:p>
    <w:p w14:paraId="14B00CAA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dach płaski </w:t>
      </w:r>
      <w:r>
        <w:rPr>
          <w:b/>
          <w:color w:val="000000"/>
          <w:u w:color="000000"/>
        </w:rPr>
        <w:t xml:space="preserve">– </w:t>
      </w:r>
      <w:r>
        <w:rPr>
          <w:color w:val="000000"/>
          <w:u w:color="000000"/>
        </w:rPr>
        <w:t>dach o spadkach połaci do 15º;</w:t>
      </w:r>
    </w:p>
    <w:p w14:paraId="40E287CF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detal architektoniczny – elementy występujące na powierzchni elewacji, których rozmieszczenie jest częścią jej układu kompozycyjnego, lub na powierzchni ścian i suf</w:t>
      </w:r>
      <w:r>
        <w:rPr>
          <w:color w:val="000000"/>
          <w:u w:color="000000"/>
        </w:rPr>
        <w:t>itu przejazdu bramowego, mające głównie funkcję dekoracyjną, w tym: gzymsy, pilastry, lizeny, kolumny, półkolumny, opaski okienne, płyciny, podokienniki, zwieńczenia elewacji lub jej części, nadproża, naczółki, rzeźby, płaskorzeźby, ornamenty, fryzy, balus</w:t>
      </w:r>
      <w:r>
        <w:rPr>
          <w:color w:val="000000"/>
          <w:u w:color="000000"/>
        </w:rPr>
        <w:t>trady, a także wykończenie powierzchni w formie np.: okładzin, tynków strukturalnych, boniowania, muru ceglanego;</w:t>
      </w:r>
    </w:p>
    <w:p w14:paraId="4D80F6ED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elewacja frontowa – elewacja budynku znajdująca się od strony przestrzeni publicznej, zlokalizowanej poza granicami obszaru objętego planem</w:t>
      </w:r>
      <w:r>
        <w:rPr>
          <w:color w:val="000000"/>
          <w:u w:color="000000"/>
        </w:rPr>
        <w:t>, a także od strony terenów komunikacji drogowej wewnętrznej lub garażu;</w:t>
      </w:r>
    </w:p>
    <w:p w14:paraId="678DBD0F" w14:textId="77777777" w:rsidR="00A77B3E" w:rsidRDefault="00D12C8A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front działki – odcinek granicy działki budowlanej przylegającej do drogi publicznej, placu publicznego lub innego ciągu komunikacyjnego, w tym zlokalizowanych poza granicami obsza</w:t>
      </w:r>
      <w:r>
        <w:rPr>
          <w:color w:val="000000"/>
          <w:u w:color="000000"/>
        </w:rPr>
        <w:t>ru objętego planem, z których odbywa się główny wjazd lub wejście na tę działkę;</w:t>
      </w:r>
    </w:p>
    <w:p w14:paraId="439AD5EB" w14:textId="77777777" w:rsidR="00A77B3E" w:rsidRDefault="00D12C8A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infrastruktura techniczna – przewody i urządzenia oraz obiekty budowlane: wodociągowe, kanalizacyjne, ciepłownicze, elektroenergetyczne, gazowe i telekomunikacyjne;</w:t>
      </w:r>
    </w:p>
    <w:p w14:paraId="260D80AC" w14:textId="77777777" w:rsidR="00A77B3E" w:rsidRDefault="00D12C8A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instalacja artystyczna – konstrukcja przestrzenna realizowana w celu podniesienia estetyki miejsca;</w:t>
      </w:r>
    </w:p>
    <w:p w14:paraId="6F0E1A54" w14:textId="77777777" w:rsidR="00A77B3E" w:rsidRDefault="00D12C8A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</w:t>
      </w:r>
      <w:r>
        <w:rPr>
          <w:color w:val="000000"/>
          <w:u w:color="000000"/>
        </w:rPr>
        <w:t>arowania;</w:t>
      </w:r>
    </w:p>
    <w:p w14:paraId="0B14EC2C" w14:textId="77777777" w:rsidR="00A77B3E" w:rsidRDefault="00D12C8A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linia zabudowy nieprzekraczalna – wyznaczona na rysunku planu linia określająca część działki budowlanej, na której możliwe jest lokalizowanie budynków, z zakazem jej przekraczania, który to zakaz nie dotyczy:</w:t>
      </w:r>
    </w:p>
    <w:p w14:paraId="3CB51DF0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elementów wejścia do budynku, </w:t>
      </w:r>
      <w:r>
        <w:rPr>
          <w:color w:val="000000"/>
          <w:u w:color="000000"/>
        </w:rPr>
        <w:t>takich jak: schody, pochylnia, podest, rampa, zadaszenie,</w:t>
      </w:r>
    </w:p>
    <w:p w14:paraId="0B4A64BF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</w:t>
      </w:r>
    </w:p>
    <w:p w14:paraId="40079DB9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7F3A8DB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045C42BD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e</w:t>
      </w:r>
      <w:r>
        <w:t>) </w:t>
      </w:r>
      <w:r>
        <w:rPr>
          <w:color w:val="000000"/>
          <w:u w:color="000000"/>
        </w:rPr>
        <w:t>instalacji artystycznych,</w:t>
      </w:r>
    </w:p>
    <w:p w14:paraId="6278ED41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termicznej, okładzin oraz zewnętrznych elementów komunikacji pionowej, takich jak klatki schodowe i szyby windowe – wyłącznie w przypadku budynków istniejących;</w:t>
      </w:r>
    </w:p>
    <w:p w14:paraId="5432B0FA" w14:textId="77777777" w:rsidR="00A77B3E" w:rsidRDefault="00D12C8A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linia zabudowy pierzejowej – ro</w:t>
      </w:r>
      <w:r>
        <w:rPr>
          <w:color w:val="000000"/>
          <w:u w:color="000000"/>
        </w:rPr>
        <w:t>dzaj linii zabudowy nieprzekraczalnej, wzdłuż której obowiązuje sytuowanie elewacji frontowej na całej jej długości, z dopuszczeniem niewypełniania całej długości linii w przypadku występowania okien lub drzwi w ścianie istniejącego budynku usytuowanej bez</w:t>
      </w:r>
      <w:r>
        <w:rPr>
          <w:color w:val="000000"/>
          <w:u w:color="000000"/>
        </w:rPr>
        <w:t>pośrednio przy granicy z sąsiednią działką budowlaną;</w:t>
      </w:r>
    </w:p>
    <w:p w14:paraId="37BC42E8" w14:textId="77777777" w:rsidR="00A77B3E" w:rsidRDefault="00D12C8A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miejsce zmiany lub końca linii zabudowy – wskazany na rysunku planu punkt, w którym następuje zmiana rodzaju linii zabudowy lub jej zakończenie;</w:t>
      </w:r>
    </w:p>
    <w:p w14:paraId="4C5FA130" w14:textId="77777777" w:rsidR="00A77B3E" w:rsidRDefault="00D12C8A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nadzór archeologiczny – rodzaj badań archeologicz</w:t>
      </w:r>
      <w:r>
        <w:rPr>
          <w:color w:val="000000"/>
          <w:u w:color="000000"/>
        </w:rPr>
        <w:t>nych polegających na obserwacji i analizie nawarstwień w wykopach budowlanych podczas realizacji robót ziemnych lub przy dokonywaniu zmiany charakteru dotychczasowej działalności wiążącej się z naruszeniem struktury gruntu;</w:t>
      </w:r>
    </w:p>
    <w:p w14:paraId="0BB77F4A" w14:textId="77777777" w:rsidR="00A77B3E" w:rsidRDefault="00D12C8A">
      <w:pPr>
        <w:ind w:left="227" w:hanging="283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 xml:space="preserve">przepisy odrębne – przepisy </w:t>
      </w:r>
      <w:r>
        <w:rPr>
          <w:color w:val="000000"/>
          <w:u w:color="000000"/>
        </w:rPr>
        <w:t>prawa powszechnie obowiązującego, w szczególności ustawy i rozporządzenia, a także akty prawa miejscowego obowiązującego na obszarze miasta Łodzi;</w:t>
      </w:r>
    </w:p>
    <w:p w14:paraId="199AECFD" w14:textId="77777777" w:rsidR="00A77B3E" w:rsidRDefault="00D12C8A">
      <w:pPr>
        <w:ind w:left="227" w:hanging="283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przeznaczenie terenu – obiekty budowlane i urządzenia budowlane oraz zagospodarowanie tworzące całość fun</w:t>
      </w:r>
      <w:r>
        <w:rPr>
          <w:color w:val="000000"/>
          <w:u w:color="000000"/>
        </w:rPr>
        <w:t>kcjonalną, określone ustaleniami planu na danym terenie odpowiednio:</w:t>
      </w:r>
    </w:p>
    <w:p w14:paraId="678254BD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technicznej i wód</w:t>
      </w:r>
      <w:r>
        <w:rPr>
          <w:color w:val="000000"/>
          <w:u w:color="000000"/>
        </w:rPr>
        <w:t xml:space="preserve"> powierzchniowych,</w:t>
      </w:r>
    </w:p>
    <w:p w14:paraId="0DF9C4A9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przeznaczenie uzupełniające – przeznaczenie, które uzupełnia przeznaczenie podstawowe na danej działce, a w przypadku dróg wewnętrznych, infrastruktury technicznej i wód powierzchniowych – przeznaczenie, które uzupełnia przeznaczenie </w:t>
      </w:r>
      <w:r>
        <w:rPr>
          <w:color w:val="000000"/>
          <w:u w:color="000000"/>
        </w:rPr>
        <w:t>podstawowe w danym terenie;</w:t>
      </w:r>
    </w:p>
    <w:p w14:paraId="41FA2D62" w14:textId="77777777" w:rsidR="00A77B3E" w:rsidRDefault="00D12C8A">
      <w:pPr>
        <w:ind w:left="227" w:hanging="283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strefa ochrony archeologicznej – rodzaj strefy ochrony konserwatorskiej obejmującej obszar, na którym zlokalizowane są zabytki archeologiczne lub istnieje uzasadnione podejrzenie, że mogą się one na nim znajdować;</w:t>
      </w:r>
    </w:p>
    <w:p w14:paraId="35ABE5F7" w14:textId="77777777" w:rsidR="00A77B3E" w:rsidRDefault="00D12C8A">
      <w:pPr>
        <w:ind w:left="227" w:hanging="283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system</w:t>
      </w:r>
      <w:r>
        <w:rPr>
          <w:color w:val="000000"/>
          <w:u w:color="000000"/>
        </w:rPr>
        <w:t xml:space="preserve"> RAL – system opisu barw w formie wzorników kolorów; oznaczenie koloru składa się z napisu „RAL” oraz czterech cyfr, z których pierwsze dwie oznaczają przynależność koloru do umownie określonych grup odcieni (np. RAL10xx – grupa odcieni żółtych, RAL90xx – </w:t>
      </w:r>
      <w:r>
        <w:rPr>
          <w:color w:val="000000"/>
          <w:u w:color="000000"/>
        </w:rPr>
        <w:t>grupa odcieni białych i czarnych);</w:t>
      </w:r>
    </w:p>
    <w:p w14:paraId="1EA1F4A6" w14:textId="77777777" w:rsidR="00A77B3E" w:rsidRDefault="00D12C8A">
      <w:pPr>
        <w:ind w:left="227" w:hanging="283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46333575" w14:textId="77777777" w:rsidR="00A77B3E" w:rsidRDefault="00D12C8A">
      <w:pPr>
        <w:ind w:left="227" w:hanging="283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uchwała – niniejsza uchwała Rady Miejskiej w Łodzi;</w:t>
      </w:r>
    </w:p>
    <w:p w14:paraId="3596A957" w14:textId="77777777" w:rsidR="00A77B3E" w:rsidRDefault="00D12C8A">
      <w:pPr>
        <w:ind w:left="227" w:hanging="283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 xml:space="preserve">układ kompozycyjny elewacji – rozmieszczenie </w:t>
      </w:r>
      <w:r>
        <w:rPr>
          <w:color w:val="000000"/>
          <w:u w:color="000000"/>
        </w:rPr>
        <w:t>elementów na elewacji, tworzące jej podziały i proporcje, w tym usytuowanie: pionowych osi otworów okiennych i drzwiowych, wykuszy, ryzalitów, balkonów, loggii;</w:t>
      </w:r>
    </w:p>
    <w:p w14:paraId="6FEB2E4B" w14:textId="77777777" w:rsidR="00A77B3E" w:rsidRDefault="00D12C8A">
      <w:pPr>
        <w:ind w:left="227" w:hanging="283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usługi uciążliwe – działalność usługowa powodująca przekroczenie standardów i norm środowis</w:t>
      </w:r>
      <w:r>
        <w:rPr>
          <w:color w:val="000000"/>
          <w:u w:color="000000"/>
        </w:rPr>
        <w:t>kowych obowiązujących dla przeznaczenia podstawowego terenu;</w:t>
      </w:r>
    </w:p>
    <w:p w14:paraId="2C5BDC39" w14:textId="77777777" w:rsidR="00A77B3E" w:rsidRDefault="00D12C8A">
      <w:pPr>
        <w:ind w:left="227" w:hanging="283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ustawa – ustawa z dnia 27 marca 2003 r. o planowaniu i zagospodarowaniu przestrzennym, o ile z treści planu nie wynika inaczej;</w:t>
      </w:r>
    </w:p>
    <w:p w14:paraId="5B1C3C9D" w14:textId="77777777" w:rsidR="00A77B3E" w:rsidRDefault="00D12C8A">
      <w:pPr>
        <w:ind w:left="227" w:hanging="283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>zabudowa istniejąca – budynki istniejące w dniu wejścia w ż</w:t>
      </w:r>
      <w:r>
        <w:rPr>
          <w:color w:val="000000"/>
          <w:u w:color="000000"/>
        </w:rPr>
        <w:t>ycie planu, a także budynki posiadające w tej dacie prawo do realizacji na podstawie ostatecznej decyzji o pozwoleniu na budowę lub zgłoszenia, o którym mowa w przepisach odrębnych z zakresu prawa budowlanego.</w:t>
      </w:r>
    </w:p>
    <w:p w14:paraId="654E3EEE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</w:t>
      </w:r>
      <w:r>
        <w:rPr>
          <w:color w:val="000000"/>
          <w:u w:color="000000"/>
        </w:rPr>
        <w:t>e w ust. 1, dotyczące zagadnień przewidzianych ustawą lub przepisami odrębnymi przywołanymi w treści uchwały, należy rozumieć w sposób określony w ustawie lub w tych przepisach, a w przypadku braku definicji – w rozumieniu powszechnym.</w:t>
      </w:r>
    </w:p>
    <w:p w14:paraId="05D11FE2" w14:textId="77777777" w:rsidR="00A77B3E" w:rsidRDefault="00D12C8A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</w:t>
      </w:r>
      <w:r>
        <w:rPr>
          <w:b/>
          <w:color w:val="000000"/>
          <w:u w:color="000000"/>
        </w:rPr>
        <w:t xml:space="preserve"> dla całego obszaru objętego planem</w:t>
      </w:r>
    </w:p>
    <w:p w14:paraId="42C0D866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7B3A9CD7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kształtowanie standardów zagospodarowania i użytkowania terenów z uwzględnieniem porządkowania i uzupełniania istniejących struktur zabud</w:t>
      </w:r>
      <w:r>
        <w:rPr>
          <w:color w:val="000000"/>
          <w:u w:color="000000"/>
        </w:rPr>
        <w:t>owy z poszanowaniem historycznego układu urbanistycznego i obiektów zabytkowych;</w:t>
      </w:r>
    </w:p>
    <w:p w14:paraId="129FD181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przeznaczone w planie na cele zabudowy zalicza się do obszarów zabudowy śródmiejskiej w rozumieniu przepisów odrębnych dotyczących budownictwa;</w:t>
      </w:r>
    </w:p>
    <w:p w14:paraId="1834FCD6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 zakresie </w:t>
      </w:r>
      <w:r>
        <w:rPr>
          <w:color w:val="000000"/>
          <w:u w:color="000000"/>
        </w:rPr>
        <w:t>przeznaczenia terenu – zakaz lokalizacji:</w:t>
      </w:r>
    </w:p>
    <w:p w14:paraId="43D44F58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 uciążliwych,</w:t>
      </w:r>
    </w:p>
    <w:p w14:paraId="42F4C640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 w zakresie obsługi pojazdów, to jest: warsztatów samochodowych, stacji obsługi samochodów, stacji paliw, wolnostojących myjni samochodowych,</w:t>
      </w:r>
    </w:p>
    <w:p w14:paraId="43665293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punktów zbierania i przetwarzania odpad</w:t>
      </w:r>
      <w:r>
        <w:rPr>
          <w:color w:val="000000"/>
          <w:u w:color="000000"/>
        </w:rPr>
        <w:t>ów, w tym złomu;</w:t>
      </w:r>
    </w:p>
    <w:p w14:paraId="477ABCA0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lokalizacji zabudowy – dopuszczenie sytuowania budynku zwróconego ścianą bez okien lub drzwi w stronę granicy z sąsiednią działką budowlaną, bezpośrednio przy tej granicy;</w:t>
      </w:r>
    </w:p>
    <w:p w14:paraId="4AA31D31" w14:textId="77777777" w:rsidR="00A77B3E" w:rsidRDefault="00D12C8A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kształtowania zabudowy:</w:t>
      </w:r>
    </w:p>
    <w:p w14:paraId="6EA3BD2F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nadbudow</w:t>
      </w:r>
      <w:r>
        <w:rPr>
          <w:color w:val="000000"/>
          <w:u w:color="000000"/>
        </w:rPr>
        <w:t>y budynków istniejących linie zabudowy pierzejowej należy traktować jako linie zabudowy nieprzekraczalne,</w:t>
      </w:r>
    </w:p>
    <w:p w14:paraId="1A9DB2D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kształtowania zabudowy niespełniającej wymagań określonych w ustaleniach planu wyłącznie w przypadku prowadzenia robót budowlanych zwi</w:t>
      </w:r>
      <w:r>
        <w:rPr>
          <w:color w:val="000000"/>
          <w:u w:color="000000"/>
        </w:rPr>
        <w:t>ązanych z prowadzeniem prac konserwatorskich i restauratorskich przy zabytkach chronionych poprzez wpis do rejestru zabytków;</w:t>
      </w:r>
    </w:p>
    <w:p w14:paraId="2EE33BEC" w14:textId="77777777" w:rsidR="00A77B3E" w:rsidRDefault="00D12C8A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kolorystyki oraz materiałów wykończeniowych elewacji i dachów:</w:t>
      </w:r>
    </w:p>
    <w:p w14:paraId="5E7EA7B2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stosowania przy realizacji elewacji s</w:t>
      </w:r>
      <w:r>
        <w:rPr>
          <w:color w:val="000000"/>
          <w:u w:color="000000"/>
        </w:rPr>
        <w:t>zklanych oraz szklenia otworów wyłącznie ze szkła bezbarwnego lub w barwie szarej,</w:t>
      </w:r>
    </w:p>
    <w:p w14:paraId="3BF44523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stosowania na elewacji: okładzin winylowych, gresu lub glazury, blach trapezowych i falistych, blachodachówki oraz materiałów i elementów charakterystycznych dla ar</w:t>
      </w:r>
      <w:r>
        <w:rPr>
          <w:color w:val="000000"/>
          <w:u w:color="000000"/>
        </w:rPr>
        <w:t>chitektury wernakularnej takich, jak: kamień i drewno niepoddane obróbce, wiklina, słoma, bielone ściany;</w:t>
      </w:r>
    </w:p>
    <w:p w14:paraId="250D11A7" w14:textId="77777777" w:rsidR="00A77B3E" w:rsidRDefault="00D12C8A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obiektów i urządzeń technicznych:</w:t>
      </w:r>
    </w:p>
    <w:p w14:paraId="016B0784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zakaz:</w:t>
      </w:r>
    </w:p>
    <w:p w14:paraId="020C1040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umieszczania na elewacjach frontowych oraz w prześwitach bramowych, </w:t>
      </w:r>
      <w:r>
        <w:rPr>
          <w:color w:val="000000"/>
          <w:u w:color="000000"/>
        </w:rPr>
        <w:t>elementów technicznego wyposażenia budynków, z wyjątkiem skrzynek przyłączy oraz instalacji służących iluminacji budynków lub zapewnieniu bezpieczeństwa,</w:t>
      </w:r>
    </w:p>
    <w:p w14:paraId="23D80AB2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urządzeń technicznych służących wentylacji i klimatyzacji, urządzeń fotowoltaicznych or</w:t>
      </w:r>
      <w:r>
        <w:rPr>
          <w:color w:val="000000"/>
          <w:u w:color="000000"/>
        </w:rPr>
        <w:t>az masztów antenowych i anten na połaciach dachowych położonych od strony przestrzeni publicznej, zlokalizowanej poza granicami obszaru objętego planem, a także od strony terenów komunikacji drogowej wewnętrznej lub garażu,</w:t>
      </w:r>
    </w:p>
    <w:p w14:paraId="321F0A6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dopuszczenie:</w:t>
      </w:r>
    </w:p>
    <w:p w14:paraId="6BDF7B74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umieszczania </w:t>
      </w:r>
      <w:r>
        <w:rPr>
          <w:color w:val="000000"/>
          <w:u w:color="000000"/>
        </w:rPr>
        <w:t xml:space="preserve">skrzynek przyłączy infrastruktury technicznej na elewacjach, a skrzynek przyłączy gazowych również na ogrodzeniach, wyłącznie jako wbudowanych w ścianę lub ogrodzenie oraz pod warunkiem zastosowania kolorystyki dla widocznej części skrzynek odpowiadającej </w:t>
      </w:r>
      <w:r>
        <w:rPr>
          <w:color w:val="000000"/>
          <w:u w:color="000000"/>
        </w:rPr>
        <w:t>barwie elewacji lub ogrodzenia, w które są wbudowane, lub w kolorze grafitowym odpowiadającym barwie 7016 w systemie RAL,</w:t>
      </w:r>
    </w:p>
    <w:p w14:paraId="77900BC2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zakładania na obiektach budowlanych elementów trakcji, znaków i sygnałów drogowych lub innych urządzeń bezpieczeństwa ruchu drogoweg</w:t>
      </w:r>
      <w:r>
        <w:rPr>
          <w:color w:val="000000"/>
          <w:u w:color="000000"/>
        </w:rPr>
        <w:t>o, urządzeń służących do zapewnienia bezpieczeństwa publicznego, a także urządzeń niezbędnych do korzystania z nich, w rozumieniu przepisów odrębnych dotyczących gospodarki nieruchomościami,</w:t>
      </w:r>
    </w:p>
    <w:p w14:paraId="6C200863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na połaciach dachowych, innych niż wymienione w li</w:t>
      </w:r>
      <w:r>
        <w:rPr>
          <w:color w:val="000000"/>
          <w:u w:color="000000"/>
        </w:rPr>
        <w:t>t. a tiret drugie, urządzeń technicznych służących wentylacji i klimatyzacji oraz urządzeń fotowoltaicznych, wraz z obudową, o wysokości do 3,0 m, a w przypadku masztów antenowych i anten o wysokości do 8,0 m.</w:t>
      </w:r>
    </w:p>
    <w:p w14:paraId="23EEA1FF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zasady ochrony śro</w:t>
      </w:r>
      <w:r>
        <w:rPr>
          <w:color w:val="000000"/>
          <w:u w:color="000000"/>
        </w:rPr>
        <w:t>dowiska, przyrody i krajobrazu oraz zasady kształtowania krajobrazu:</w:t>
      </w:r>
    </w:p>
    <w:p w14:paraId="14C979FF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mogących:</w:t>
      </w:r>
    </w:p>
    <w:p w14:paraId="1059F49F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zawsze znacząco oddziaływać na środowisko,</w:t>
      </w:r>
    </w:p>
    <w:p w14:paraId="660A2817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potencjalnie znacząco oddziaływać na środowisko z wyjątkiem:</w:t>
      </w:r>
    </w:p>
    <w:p w14:paraId="2EB0DA44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zespołów zabudowy mieszkaniowe</w:t>
      </w:r>
      <w:r>
        <w:rPr>
          <w:color w:val="000000"/>
          <w:u w:color="000000"/>
        </w:rPr>
        <w:t>j, usługowej, garaży i parkingów samochodowych oraz zespołów parkingów wraz z towarzyszącą im infrastrukturą,</w:t>
      </w:r>
    </w:p>
    <w:p w14:paraId="51B2295C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przedsięwzięć dotyczących infrastruktury technicznej i dróg;</w:t>
      </w:r>
    </w:p>
    <w:p w14:paraId="3AE99347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w zakresie gospodarki wodnej i odprowadzania ścieków oraz gospodarki odpadami – </w:t>
      </w:r>
      <w:r>
        <w:rPr>
          <w:color w:val="000000"/>
          <w:u w:color="000000"/>
        </w:rPr>
        <w:t>nakaz stosowania kompleksowych rozwiązań poprzez:</w:t>
      </w:r>
    </w:p>
    <w:p w14:paraId="2DC3D101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bądź ogólnospławnej do wszystkich terenów przeznaczonych na cele zabudowy,</w:t>
      </w:r>
    </w:p>
    <w:p w14:paraId="4C35CE68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</w:t>
      </w:r>
      <w:r>
        <w:rPr>
          <w:color w:val="000000"/>
          <w:u w:color="000000"/>
        </w:rPr>
        <w:t xml:space="preserve"> odbioru wód opadowych i roztopowych dla terenów przeznaczanych na cele zabudowy i dróg,</w:t>
      </w:r>
    </w:p>
    <w:p w14:paraId="473C4AB7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zapewnienie wykorzystania lub retencjonowania nadmiaru wód opadowych i roztopowych w miejscu ich powstania, z dopuszczeniem odprowadzenia ich do odbiornika na warun</w:t>
      </w:r>
      <w:r>
        <w:rPr>
          <w:color w:val="000000"/>
          <w:u w:color="000000"/>
        </w:rPr>
        <w:t>kach określonych w przepisach odrębnych dotyczących zbiorowego zaopatrzenia w wodę i zbiorowego odprowadzania ścieków oraz prawa wodnego, a także budownictwa, przy zastosowaniu rozwiązań opóźniających odpływ i ograniczających jego wielkość,</w:t>
      </w:r>
    </w:p>
    <w:p w14:paraId="6F0B2DA3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włączanie te</w:t>
      </w:r>
      <w:r>
        <w:rPr>
          <w:color w:val="000000"/>
          <w:u w:color="000000"/>
        </w:rPr>
        <w:t>renów zurbanizowanych do miejskiego systemu gospodarki odpadami na zasadach określonych w przepisach odrębnych dotyczących utrzymania czystości i porządku w gminie;</w:t>
      </w:r>
    </w:p>
    <w:p w14:paraId="1AE2BA48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powietrza – zakaz stosowania źródeł zaopatrzenia w ciepło powodującyc</w:t>
      </w:r>
      <w:r>
        <w:rPr>
          <w:color w:val="000000"/>
          <w:u w:color="000000"/>
        </w:rPr>
        <w:t>h emisję substancji przekraczającą dopuszczalne normy;</w:t>
      </w:r>
    </w:p>
    <w:p w14:paraId="07111D93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w zakresie ochrony przed promieniowaniem elektromagnetycznym – zakaz lokalizacji infrastruktury technicznej, która powoduje przekroczenie dopuszczalnych poziomów pól elektromagnetycznych </w:t>
      </w:r>
      <w:r>
        <w:rPr>
          <w:color w:val="000000"/>
          <w:u w:color="000000"/>
        </w:rPr>
        <w:t>w środowisku określonych w przepisach odrębnych dotyczących ochrony środowiska w budynkach z pomieszczeniami przeznaczonymi na pobyt ludzi, w rozumieniu przepisów odrębnych dotyczących budownictwa;</w:t>
      </w:r>
    </w:p>
    <w:p w14:paraId="36A83378" w14:textId="77777777" w:rsidR="00A77B3E" w:rsidRDefault="00D12C8A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 zakresie ochrony przed hałasem – tereny oznaczone na </w:t>
      </w:r>
      <w:r>
        <w:rPr>
          <w:color w:val="000000"/>
          <w:u w:color="000000"/>
        </w:rPr>
        <w:t>rysunku planu symbolem U zalicza się do terenów chronionych akustycznie określonych jako „tereny w strefie śródmiejskiej miast powyżej 100 tys. mieszkańców” w rozumieniu przepisów odrębnych dotyczących dopuszczalnych poziomów hałasu w środowisku.</w:t>
      </w:r>
    </w:p>
    <w:p w14:paraId="6DCB5CBB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</w:t>
      </w:r>
      <w:r>
        <w:rPr>
          <w:color w:val="000000"/>
          <w:u w:color="000000"/>
        </w:rPr>
        <w:t>la się granice i sposoby zagospodarowania krajobrazów priorytetowych wyznaczonych w Audycie krajobrazowym województwa łódzkiego uchwalonym uchwałą Nr XIII/150/25 Sejmiku Województwa Łódzkiego z dnia 15 kwietnia 2025 r. w sprawie uchwalenia Audytu krajobraz</w:t>
      </w:r>
      <w:r>
        <w:rPr>
          <w:color w:val="000000"/>
          <w:u w:color="000000"/>
        </w:rPr>
        <w:t>owego województwa łódzkiego:</w:t>
      </w:r>
    </w:p>
    <w:p w14:paraId="2DB15F7B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cały obszar objęty planem znajduje się w granicach „Krajobrazu Priorytetowego Łódź – krajobraz wielkomiejski”;</w:t>
      </w:r>
    </w:p>
    <w:p w14:paraId="08A8BABE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sposób zagospodarowania krajobrazu priorytetowego określa się poprzez ustalenia szczegółowe dla terenów, uwzgl</w:t>
      </w:r>
      <w:r>
        <w:rPr>
          <w:color w:val="000000"/>
          <w:u w:color="000000"/>
        </w:rPr>
        <w:t>ędniające rekomendacje i wnioski wynikające z Audytu krajobrazowego województwa łódzkiego.</w:t>
      </w:r>
    </w:p>
    <w:p w14:paraId="4C10C252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14:paraId="39FB9F94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wskazuje się zabytek chroniony na mocy </w:t>
      </w:r>
      <w:r>
        <w:rPr>
          <w:color w:val="000000"/>
          <w:u w:color="000000"/>
        </w:rPr>
        <w:t>rozporządzenia Prezydenta Rzeczypospolitej Polskiej z dnia 16 lutego 2015 r. w sprawie uznania za pomnik historii „Łódź – wielokulturowy krajobraz miasta przemysłowego” (Dz. U. poz. 315), obejmujący cały obszar planu;</w:t>
      </w:r>
    </w:p>
    <w:p w14:paraId="0525B7CD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wskazuje się zabytki chronione prze</w:t>
      </w:r>
      <w:r>
        <w:rPr>
          <w:color w:val="000000"/>
          <w:u w:color="000000"/>
        </w:rPr>
        <w:t>z wpis do rejestru zabytków, dla których prowadzenie działań inwestycyjnych wymaga pozwolenia właściwego organu, zgodnie z przepisami odrębnymi dotyczącymi ochrony zabytków:</w:t>
      </w:r>
    </w:p>
    <w:p w14:paraId="1308EE72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układ urbanistyczny ulicy Piotrkowskiej na odcinku od Placu Wolności do alei: m</w:t>
      </w:r>
      <w:r>
        <w:rPr>
          <w:color w:val="000000"/>
          <w:u w:color="000000"/>
        </w:rPr>
        <w:t>arsz. Józefa Piłsudskiego i Adama Mickiewicza, nr wpisu do rejestru A/48, obejmujący cały obszar planu,</w:t>
      </w:r>
    </w:p>
    <w:p w14:paraId="58B03D04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układ urbanistyczny i zespół budowlany ulicy Stanisława Moniuszki, nr wpisu do rejestru A/49, w granicach wskazanych na rysunku planu,</w:t>
      </w:r>
    </w:p>
    <w:p w14:paraId="7C21A5B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oznaczone n</w:t>
      </w:r>
      <w:r>
        <w:rPr>
          <w:color w:val="000000"/>
          <w:u w:color="000000"/>
        </w:rPr>
        <w:t>a rysunku planu symbolem R oraz kolejną liczbą i wymienione w poniższej 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4734"/>
        <w:gridCol w:w="2765"/>
      </w:tblGrid>
      <w:tr w:rsidR="005E3B74" w14:paraId="77B11592" w14:textId="77777777"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1DFEAA0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Symbol na rysunku planu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638C0FB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Nazwa zabytku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A505A9C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Numer wpisu do rejestru</w:t>
            </w:r>
          </w:p>
        </w:tc>
      </w:tr>
      <w:tr w:rsidR="005E3B74" w14:paraId="42ADDAF4" w14:textId="77777777"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F956877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R1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1D582C3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t>dawniej budynek Towarzystwa Akcyjnego Zakładów bawełnianych Ludwika Geyera, obecnie Bank Handlowy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7062B08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4/33/66 oraz</w:t>
            </w:r>
            <w:r>
              <w:t xml:space="preserve"> A/33</w:t>
            </w:r>
          </w:p>
        </w:tc>
      </w:tr>
      <w:tr w:rsidR="005E3B74" w14:paraId="73ED8F58" w14:textId="77777777"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2B59597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R2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B387841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t>dawniej willa L. Meyera, obecnie Poczta Polska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06A2A82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A/82</w:t>
            </w:r>
          </w:p>
        </w:tc>
      </w:tr>
      <w:tr w:rsidR="005E3B74" w14:paraId="23471D69" w14:textId="77777777"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BA1262A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R3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0421B8E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t>gmach Związku Młodzieży Chrześcijańskiej w Polsce „YMCA”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32811FE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t>A/83</w:t>
            </w:r>
          </w:p>
        </w:tc>
      </w:tr>
    </w:tbl>
    <w:p w14:paraId="7A3FFA57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wprowadza się strefę ochrony archeologicznej, obejmującą cały obszar planu, w której przy realizacji robót ziemnych lub </w:t>
      </w:r>
      <w:r>
        <w:rPr>
          <w:color w:val="000000"/>
          <w:u w:color="000000"/>
        </w:rPr>
        <w:t>dokonywaniu zmiany charakteru dotychczasowej działalności wiążącej się z naruszeniem struktury gruntu nakazuje się prowadzenie nadzoru archeologicznego na zasadach określonych w przepisach odrębnych dotyczących ochrony zabytków;</w:t>
      </w:r>
    </w:p>
    <w:p w14:paraId="0373DA77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wprowadza się strefę och</w:t>
      </w:r>
      <w:r>
        <w:rPr>
          <w:color w:val="000000"/>
          <w:u w:color="000000"/>
        </w:rPr>
        <w:t xml:space="preserve">rony konserwatorskiej, obejmującą cały obszar planu, stanowiącą fragment historycznego układu urbanistycznego oraz krajobrazu kulturowego, wpisanego do gminnej ewidencji zabytków pod nazwą „Osada Łódka”, dla której ustala się nakaz zachowania historycznej </w:t>
      </w:r>
      <w:r>
        <w:rPr>
          <w:color w:val="000000"/>
          <w:u w:color="000000"/>
        </w:rPr>
        <w:t>struktury przestrzennej, obejmującej istniejący układ ulic i placów wraz z lokalizacją pierzei stanowiących ich obudowę;</w:t>
      </w:r>
    </w:p>
    <w:p w14:paraId="0E90A847" w14:textId="77777777" w:rsidR="00A77B3E" w:rsidRDefault="00D12C8A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wskazuje się zabytki wpisane do gminnej ewidencji zabytków, oznaczone na rysunku planu symbolem E oraz kolejną liczbą, wymienione w </w:t>
      </w:r>
      <w:r>
        <w:rPr>
          <w:color w:val="000000"/>
          <w:u w:color="000000"/>
        </w:rPr>
        <w:t>tabeli w ustaleniach szczegółowych, dla których ustala się ochronę poprzez nakaz zachowania elementów i parametrów zabytków podlegających ochronie wymienionych w tabeli w ustaleniach szczegółowych.</w:t>
      </w:r>
    </w:p>
    <w:p w14:paraId="5E94633D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Ustala się następujące zasady i warunki scalania i</w:t>
      </w:r>
      <w:r>
        <w:rPr>
          <w:color w:val="000000"/>
          <w:u w:color="000000"/>
        </w:rPr>
        <w:t> podziału nieruchomości:</w:t>
      </w:r>
    </w:p>
    <w:p w14:paraId="7DB004E1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14:paraId="64B83741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szczegółowe zasady i warunki scalania i podziału nieruchomości dokonywanego na </w:t>
      </w:r>
      <w:r>
        <w:rPr>
          <w:color w:val="000000"/>
          <w:u w:color="000000"/>
        </w:rPr>
        <w:t>wniosek określono w ustaleniach szczegółowych dla terenów.</w:t>
      </w:r>
    </w:p>
    <w:p w14:paraId="0A2C9AD9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scalania i podziału nieruchomości określone w ustaleniach szczegółowych dla terenów nie obowiązują dla działek gruntu wydzielonych pod drogi, do</w:t>
      </w:r>
      <w:r>
        <w:rPr>
          <w:color w:val="000000"/>
          <w:u w:color="000000"/>
        </w:rPr>
        <w:t>jścia i dojazdy oraz pod infrastrukturę techniczną.</w:t>
      </w:r>
    </w:p>
    <w:p w14:paraId="6C3D2F53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szczególne warunki zagospodarowania terenów oraz ograniczenia w ich użytkowaniu, wynikające z przepisów odrębnych dotyczących prawa lotniczego:</w:t>
      </w:r>
    </w:p>
    <w:p w14:paraId="024D81B6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ograniczenie wysokości obiektów naturaln</w:t>
      </w:r>
      <w:r>
        <w:rPr>
          <w:color w:val="000000"/>
          <w:u w:color="000000"/>
        </w:rPr>
        <w:t>ych i sztucznych, w tym obiektów budowlanych, obejmujące również: kominy, anteny oraz inne urządzenia umieszczane na obiekcie ze względu na położenie fragmentu obszaru objętego planem w zasięgu powierzchni ograniczających przeszkody dla Portu Lotniczego Łó</w:t>
      </w:r>
      <w:r>
        <w:rPr>
          <w:color w:val="000000"/>
          <w:u w:color="000000"/>
        </w:rPr>
        <w:t>dź im. Władysława Reymonta, których granicę wskazano na rysunku planu;</w:t>
      </w:r>
    </w:p>
    <w:p w14:paraId="7275CEA6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ograniczenie wysokości zabudowy ze względu na położenie fragmentu obszaru objętego planem w zasięgu powierzchni ograniczających zabudowę (BRA) od lotniczych urządzeń naziemnych (LUN)</w:t>
      </w:r>
      <w:r>
        <w:rPr>
          <w:color w:val="000000"/>
          <w:u w:color="000000"/>
        </w:rPr>
        <w:t>, których granicę wskazano na rysunku planu;</w:t>
      </w:r>
    </w:p>
    <w:p w14:paraId="2C85A49A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budowy lub rozbudowy obiektów budowlanych sprzyjających występowaniu zwierząt stwarzających zagrożenie dla ruchu statków powietrznych, na całym obszarze objętym planem.</w:t>
      </w:r>
    </w:p>
    <w:p w14:paraId="1E0880E3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 xml:space="preserve">Ustala się następujące </w:t>
      </w:r>
      <w:r>
        <w:rPr>
          <w:color w:val="000000"/>
          <w:u w:color="000000"/>
        </w:rPr>
        <w:t>zasady modernizacji, rozbudowy i budowy systemów komunikacji:</w:t>
      </w:r>
    </w:p>
    <w:p w14:paraId="47454F3E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służący obsłudze ruchu z terenów przyległych stanowią:</w:t>
      </w:r>
    </w:p>
    <w:p w14:paraId="48FDE201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komunikacji drogowej wewnętrznej lub garażu, oznaczone na rysunku planu symbolami 1KR-KOG i 2KR-KOG (ul. H</w:t>
      </w:r>
      <w:r>
        <w:rPr>
          <w:color w:val="000000"/>
          <w:u w:color="000000"/>
        </w:rPr>
        <w:t>otelowa),</w:t>
      </w:r>
    </w:p>
    <w:p w14:paraId="4ED40A18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wewnętrzne, zlokalizowane poza granicą obszaru objętego planem;</w:t>
      </w:r>
    </w:p>
    <w:p w14:paraId="37940A5E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komunikacyjnego obszaru objętego planem z zewnętrznym układem komunikacyjnym zapewniają tereny wymienione w pkt 1.</w:t>
      </w:r>
    </w:p>
    <w:p w14:paraId="455E9536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 xml:space="preserve">Ustala się minimalną liczbę </w:t>
      </w:r>
      <w:r>
        <w:rPr>
          <w:color w:val="000000"/>
          <w:u w:color="000000"/>
        </w:rPr>
        <w:t>miejsc do parkowania:</w:t>
      </w:r>
    </w:p>
    <w:p w14:paraId="588F0305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14:paraId="0173BED2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– 0,5 stanowiska na każdy lokal mieszkalny,</w:t>
      </w:r>
    </w:p>
    <w:p w14:paraId="506C3643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 – 3 stanowiska na każde 1000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obiektów usługowych;</w:t>
      </w:r>
    </w:p>
    <w:p w14:paraId="626A761D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rowerów:</w:t>
      </w:r>
    </w:p>
    <w:p w14:paraId="294230AC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– 1 stanowisko na 10 lokali mieszka</w:t>
      </w:r>
      <w:r>
        <w:rPr>
          <w:color w:val="000000"/>
          <w:u w:color="000000"/>
        </w:rPr>
        <w:t>lnych,</w:t>
      </w:r>
    </w:p>
    <w:p w14:paraId="6B51ECCE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usług:</w:t>
      </w:r>
    </w:p>
    <w:p w14:paraId="40F68F20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hotelowych – 1 stanowisko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obiektów usługowych,</w:t>
      </w:r>
    </w:p>
    <w:p w14:paraId="4DDD94DE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– 6 stanowisk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obiektów usługowych.</w:t>
      </w:r>
    </w:p>
    <w:p w14:paraId="48A4E51C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Nie ustala się liczby miejsc do parkowania dla samochodów i rowerów dotycząc</w:t>
      </w:r>
      <w:r>
        <w:rPr>
          <w:color w:val="000000"/>
          <w:u w:color="000000"/>
        </w:rPr>
        <w:t>ej zabudowy istniejącej oraz rozbudowy i nadbudowy zabytków.</w:t>
      </w:r>
    </w:p>
    <w:p w14:paraId="78F6428D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Wymaganą liczbę miejsc do parkowania dla samochodów i rowerów należy określać:</w:t>
      </w:r>
    </w:p>
    <w:p w14:paraId="1A642432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 kolejnej liczby całkowitej</w:t>
      </w:r>
      <w:r>
        <w:rPr>
          <w:color w:val="000000"/>
          <w:u w:color="000000"/>
        </w:rPr>
        <w:t>;</w:t>
      </w:r>
    </w:p>
    <w:p w14:paraId="0ECD4724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minimalnych liczb miejsc do parkowania wymaganych dla poszczególnych części budynków wielofunkcyjnych.</w:t>
      </w:r>
    </w:p>
    <w:p w14:paraId="742EF3A9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Dopuszcza się zapewnienie w całości lub części minimalnej liczby miejsc do parkowania dla samochodów na nieruchomościach </w:t>
      </w:r>
      <w:r>
        <w:rPr>
          <w:color w:val="000000"/>
          <w:u w:color="000000"/>
        </w:rPr>
        <w:t>położonych w odległości nie większej niż 200 m od terenu inwestycji.</w:t>
      </w:r>
    </w:p>
    <w:p w14:paraId="48469474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Dla inwestycji obejmującej realizację więcej niż 5 miejsc do parkowania, minimum 4% ogólnej liczby miejsc, lecz nie mniej niż 1 miejsce, należy przeznaczyć do parkowania pojazdów zaopa</w:t>
      </w:r>
      <w:r>
        <w:rPr>
          <w:color w:val="000000"/>
          <w:u w:color="000000"/>
        </w:rPr>
        <w:t>trzonych w kartę parkingową, o której mowa w przepisach dotyczących ruchu drogowego, z zastrzeżeniem: dróg publicznych, stref zamieszkania i stref ruchu, dla których minimalną liczbę stanowisk postojowych dla pojazdów zaopatrzonych w kartę parkingową okreś</w:t>
      </w:r>
      <w:r>
        <w:rPr>
          <w:color w:val="000000"/>
          <w:u w:color="000000"/>
        </w:rPr>
        <w:t>lają przepisy odrębne dotyczące dróg publicznych.</w:t>
      </w:r>
    </w:p>
    <w:p w14:paraId="56B9FBEF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 infrastruktury technicznej:</w:t>
      </w:r>
    </w:p>
    <w:p w14:paraId="3802D8D7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wyposażanie terenów w infrastrukturę techniczną w oparciu o istniejące systemy, ich przebudowę</w:t>
      </w:r>
      <w:r>
        <w:rPr>
          <w:color w:val="000000"/>
          <w:u w:color="000000"/>
        </w:rPr>
        <w:t xml:space="preserve"> i rozbudowę, a także budowę nowych systemów;</w:t>
      </w:r>
    </w:p>
    <w:p w14:paraId="604581DA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 z wyłączeniem stacji transformatorowych oraz elementów infrastruktury technicznej, które jedynie jako nadziemne mogą pełni</w:t>
      </w:r>
      <w:r>
        <w:rPr>
          <w:color w:val="000000"/>
          <w:u w:color="000000"/>
        </w:rPr>
        <w:t>ć swoją funkcję.</w:t>
      </w:r>
    </w:p>
    <w:p w14:paraId="6593688D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14:paraId="631ED9B0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źródła zaopatrzenia w wodę – magistrale wodociągowe w ulicach: Zielonej, Składowej, Jana Kilińskiego;</w:t>
      </w:r>
    </w:p>
    <w:p w14:paraId="3192276E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</w:t>
      </w:r>
      <w:r>
        <w:rPr>
          <w:color w:val="000000"/>
          <w:u w:color="000000"/>
        </w:rPr>
        <w:t xml:space="preserve"> ścieków komunalnych – Kolektor II;</w:t>
      </w:r>
    </w:p>
    <w:p w14:paraId="4EFF6F6A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podstawowe źródło zaopatrzenia w gaz – gazociąg niskiego ciśnienia Dn 225 zlokalizowany w ul. Piotrkowskiej;</w:t>
      </w:r>
    </w:p>
    <w:p w14:paraId="38622826" w14:textId="77777777" w:rsidR="00A77B3E" w:rsidRDefault="00D12C8A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źródła zaopatrzenia w ciepło systemowe – magistrale wody gorącej 2 x Dn</w:t>
      </w:r>
      <w:r>
        <w:rPr>
          <w:color w:val="000000"/>
          <w:u w:color="000000"/>
        </w:rPr>
        <w:t> 125 zlokalizowane w ul. Romualda Traugutta oraz rurociągi wody gorącej 2 x Dn 100 zlokalizowane w ul. Piotrkowskiej;</w:t>
      </w:r>
    </w:p>
    <w:p w14:paraId="28AB1033" w14:textId="77777777" w:rsidR="00A77B3E" w:rsidRDefault="00D12C8A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– Rejonowy Punkt Zasilania Śródmieście 110/15 kV.</w:t>
      </w:r>
    </w:p>
    <w:p w14:paraId="45993890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wysokość stawki</w:t>
      </w:r>
      <w:r>
        <w:rPr>
          <w:color w:val="000000"/>
          <w:u w:color="000000"/>
        </w:rPr>
        <w:t xml:space="preserve"> procentowej służącej określeniu opłaty, o której mowa w art. 36 ust. 4 ustawy, dla wszystkich terenów – 30%.</w:t>
      </w:r>
    </w:p>
    <w:p w14:paraId="221BC375" w14:textId="77777777" w:rsidR="00A77B3E" w:rsidRDefault="00D12C8A">
      <w:pPr>
        <w:keepNext/>
        <w:keepLines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14:paraId="1E261C7F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Dla terenów oznaczonych na rysunku planu symbolami:</w:t>
      </w:r>
      <w:r>
        <w:rPr>
          <w:b/>
          <w:color w:val="000000"/>
          <w:u w:color="000000"/>
        </w:rPr>
        <w:t xml:space="preserve"> 1U, 2U i 3U</w:t>
      </w:r>
      <w:r>
        <w:rPr>
          <w:color w:val="000000"/>
          <w:u w:color="000000"/>
        </w:rPr>
        <w:t xml:space="preserve"> obowiązują ustalenia zawarte w kolejnych</w:t>
      </w:r>
      <w:r>
        <w:rPr>
          <w:color w:val="000000"/>
          <w:u w:color="000000"/>
        </w:rPr>
        <w:t xml:space="preserve"> ustępach niniejszego paragrafu.</w:t>
      </w:r>
    </w:p>
    <w:p w14:paraId="3720086F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62F04B0F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usług z wykluczeniem terenu usług handlu wielkopowierzchniowego oraz terenu usług zdrowia i pomocy społecznej;</w:t>
      </w:r>
    </w:p>
    <w:p w14:paraId="377C7C41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</w:t>
      </w:r>
      <w:r>
        <w:rPr>
          <w:color w:val="000000"/>
          <w:u w:color="000000"/>
        </w:rPr>
        <w:t>e:</w:t>
      </w:r>
    </w:p>
    <w:p w14:paraId="3DB7A27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zabudowy mieszkaniowej wielorodzinnej,</w:t>
      </w:r>
    </w:p>
    <w:p w14:paraId="48E10C7E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wewnętrznej,</w:t>
      </w:r>
    </w:p>
    <w:p w14:paraId="7CA9265F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garażu,</w:t>
      </w:r>
    </w:p>
    <w:p w14:paraId="0031FA3C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infrastruktury technicznej z wykluczeniem terenu: magazynu gazu, obsługi produktów naftowych i gospodarowania odpadami.</w:t>
      </w:r>
    </w:p>
    <w:p w14:paraId="18597CAF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</w:t>
      </w:r>
      <w:r>
        <w:rPr>
          <w:color w:val="000000"/>
          <w:u w:color="000000"/>
        </w:rPr>
        <w:t>sad ochrony dziedzictwa kulturowego i zabytków wskazuje się zabytki wraz z elementami i parametrami zabytku podlegającymi ochronie: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254"/>
        <w:gridCol w:w="6117"/>
      </w:tblGrid>
      <w:tr w:rsidR="005E3B74" w14:paraId="72EE24F3" w14:textId="77777777">
        <w:trPr>
          <w:trHeight w:val="1109"/>
        </w:trPr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C10F17C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na rysunku planu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10CF4D2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Nazwa zabytku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9191959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Elementy i parametry zabytku podlegające ochronie</w:t>
            </w:r>
          </w:p>
        </w:tc>
      </w:tr>
      <w:tr w:rsidR="005E3B74" w14:paraId="5C7FF914" w14:textId="77777777">
        <w:trPr>
          <w:trHeight w:val="957"/>
        </w:trPr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50C7244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E1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887B70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budynek Towarzystwa Akcyjnego </w:t>
            </w:r>
            <w:r>
              <w:rPr>
                <w:sz w:val="20"/>
              </w:rPr>
              <w:t>„Grand Hotel”, obecnie hotel „Grand”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3F43E45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1) elewacje frontowe i od strony podwórza:</w:t>
            </w:r>
          </w:p>
          <w:p w14:paraId="0C05BAF4" w14:textId="77777777" w:rsidR="005E3B74" w:rsidRDefault="00D12C8A">
            <w:pPr>
              <w:jc w:val="left"/>
            </w:pPr>
            <w:r>
              <w:rPr>
                <w:sz w:val="20"/>
              </w:rPr>
              <w:t>a) układ kompozycyjny elewacji,</w:t>
            </w:r>
          </w:p>
          <w:p w14:paraId="52E1ECF8" w14:textId="77777777" w:rsidR="005E3B74" w:rsidRDefault="00D12C8A">
            <w:pPr>
              <w:jc w:val="left"/>
            </w:pPr>
            <w:r>
              <w:rPr>
                <w:sz w:val="20"/>
              </w:rPr>
              <w:t>b) detal architektoniczny;</w:t>
            </w:r>
          </w:p>
          <w:p w14:paraId="404CC720" w14:textId="77777777" w:rsidR="005E3B74" w:rsidRDefault="00D12C8A">
            <w:pPr>
              <w:jc w:val="left"/>
            </w:pPr>
            <w:r>
              <w:rPr>
                <w:sz w:val="20"/>
              </w:rPr>
              <w:t>2) przejazd bramowy – detal architektoniczny</w:t>
            </w:r>
          </w:p>
        </w:tc>
      </w:tr>
      <w:tr w:rsidR="005E3B74" w14:paraId="1877419B" w14:textId="77777777">
        <w:trPr>
          <w:trHeight w:val="1498"/>
        </w:trPr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4836808" w14:textId="77777777" w:rsidR="00A77B3E" w:rsidRDefault="00D12C8A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E2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03AC6BC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budynek Towarzystwa Akcyjnego Zakładów Bawełnianych Ludwika Geyera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9E6ED3E" w14:textId="77777777" w:rsidR="00A77B3E" w:rsidRDefault="00D12C8A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1) elewacje frontowe i od strony podwórza:</w:t>
            </w:r>
          </w:p>
          <w:p w14:paraId="0B28404A" w14:textId="77777777" w:rsidR="005E3B74" w:rsidRDefault="00D12C8A">
            <w:pPr>
              <w:jc w:val="left"/>
            </w:pPr>
            <w:r>
              <w:rPr>
                <w:sz w:val="20"/>
              </w:rPr>
              <w:t>a) układ kompozycyjny elewacji,</w:t>
            </w:r>
          </w:p>
          <w:p w14:paraId="2237056A" w14:textId="77777777" w:rsidR="005E3B74" w:rsidRDefault="00D12C8A">
            <w:pPr>
              <w:jc w:val="left"/>
            </w:pPr>
            <w:r>
              <w:rPr>
                <w:sz w:val="20"/>
              </w:rPr>
              <w:t>b) detal architektoniczny;</w:t>
            </w:r>
          </w:p>
          <w:p w14:paraId="33D785A1" w14:textId="77777777" w:rsidR="005E3B74" w:rsidRDefault="00D12C8A">
            <w:pPr>
              <w:jc w:val="left"/>
            </w:pPr>
            <w:r>
              <w:rPr>
                <w:sz w:val="20"/>
              </w:rPr>
              <w:t>2) przejazd bramowy:</w:t>
            </w:r>
          </w:p>
          <w:p w14:paraId="6E2E4E52" w14:textId="77777777" w:rsidR="005E3B74" w:rsidRDefault="00D12C8A">
            <w:pPr>
              <w:jc w:val="left"/>
            </w:pPr>
            <w:r>
              <w:rPr>
                <w:sz w:val="20"/>
              </w:rPr>
              <w:t>a) detal architektoniczny,</w:t>
            </w:r>
          </w:p>
          <w:p w14:paraId="017FA205" w14:textId="77777777" w:rsidR="005E3B74" w:rsidRDefault="00D12C8A">
            <w:pPr>
              <w:jc w:val="left"/>
            </w:pPr>
            <w:r>
              <w:rPr>
                <w:sz w:val="20"/>
              </w:rPr>
              <w:t>b) odboje</w:t>
            </w:r>
          </w:p>
        </w:tc>
      </w:tr>
    </w:tbl>
    <w:p w14:paraId="321C9C18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 xml:space="preserve">i kształtowania </w:t>
      </w:r>
      <w:r>
        <w:rPr>
          <w:color w:val="000000"/>
          <w:u w:color="000000"/>
        </w:rPr>
        <w:t>ładu przestrzennego ustala się:</w:t>
      </w:r>
    </w:p>
    <w:p w14:paraId="0E9D2052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3CEDB295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1,0,</w:t>
      </w:r>
    </w:p>
    <w:p w14:paraId="05E8D696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minimum 1,0, maksimum 6,0,</w:t>
      </w:r>
    </w:p>
    <w:p w14:paraId="507CE932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udział powierzchni biologicznie czynnej – minimum 0,05, z zastrzeżeniem </w:t>
      </w:r>
      <w:r>
        <w:rPr>
          <w:color w:val="000000"/>
          <w:u w:color="000000"/>
        </w:rPr>
        <w:t>działek, na których udział powierzchni zabudowy istniejącej w dniu wejścia w życie planu jest równy lub wyższy niż 0,85, dla których ustala się minimum 0,0;</w:t>
      </w:r>
    </w:p>
    <w:p w14:paraId="630AFF8D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37FA9CA4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2457FFF2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1U:</w:t>
      </w:r>
    </w:p>
    <w:p w14:paraId="5F029B83" w14:textId="77777777" w:rsidR="00A77B3E" w:rsidRDefault="00D12C8A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w strefie A oznaczone</w:t>
      </w:r>
      <w:r>
        <w:rPr>
          <w:color w:val="000000"/>
          <w:u w:color="000000"/>
        </w:rPr>
        <w:t>j na rysunku planu – maksimum 25,0 m,</w:t>
      </w:r>
    </w:p>
    <w:p w14:paraId="0214DE10" w14:textId="77777777" w:rsidR="00A77B3E" w:rsidRDefault="00D12C8A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pozostałej zabudowy – maksimum 30,0 m,</w:t>
      </w:r>
    </w:p>
    <w:p w14:paraId="7597CDBF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2U – maksimum 20,0 m,</w:t>
      </w:r>
    </w:p>
    <w:p w14:paraId="5BBD1299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3U – maksimum 24,0 m,</w:t>
      </w:r>
    </w:p>
    <w:p w14:paraId="7F7F4BDF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dachy:</w:t>
      </w:r>
    </w:p>
    <w:p w14:paraId="518EB77A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płaskie,</w:t>
      </w:r>
    </w:p>
    <w:p w14:paraId="6B219AC2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o spadkach połaci dachowych do 35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033B03B5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mansardowe.</w:t>
      </w:r>
    </w:p>
    <w:p w14:paraId="0A09FAB8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W zakresie szczegółowych </w:t>
      </w:r>
      <w:r>
        <w:rPr>
          <w:color w:val="000000"/>
          <w:u w:color="000000"/>
        </w:rPr>
        <w:t>zasad i warunków scalania i podziału nieruchomości ustala się:</w:t>
      </w:r>
    </w:p>
    <w:p w14:paraId="3BE40EA8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1800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37131B23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 m;</w:t>
      </w:r>
    </w:p>
    <w:p w14:paraId="7304EFA5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90º z tolerancją 2º.</w:t>
      </w:r>
    </w:p>
    <w:p w14:paraId="1F6A764B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Dla terenów</w:t>
      </w:r>
      <w:r>
        <w:rPr>
          <w:color w:val="000000"/>
          <w:u w:color="000000"/>
        </w:rPr>
        <w:t xml:space="preserve"> oznaczonych na rysunku planu symbolami </w:t>
      </w:r>
      <w:r>
        <w:rPr>
          <w:b/>
          <w:color w:val="000000"/>
          <w:u w:color="000000"/>
        </w:rPr>
        <w:t xml:space="preserve">1KR-KOG i 2KR-KOG </w:t>
      </w:r>
      <w:r>
        <w:rPr>
          <w:color w:val="000000"/>
          <w:u w:color="000000"/>
        </w:rPr>
        <w:t>obowiązują ustalenia zawarte w kolejnych ustępach niniejszego paragrafu.</w:t>
      </w:r>
    </w:p>
    <w:p w14:paraId="5248DDB5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506E4703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komunikacji drogowej wewnętrznej lub garaż</w:t>
      </w:r>
      <w:r>
        <w:rPr>
          <w:color w:val="000000"/>
          <w:u w:color="000000"/>
        </w:rPr>
        <w:t>u;</w:t>
      </w:r>
    </w:p>
    <w:p w14:paraId="31A72B43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753375C4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terenie 1KR-KOG – teren usług z wykluczeniem terenu usług handlu wielkopowierzchniowego oraz terenu usług zdrowia i pomocy społecznej,</w:t>
      </w:r>
    </w:p>
    <w:p w14:paraId="5239C488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z wykluczeniem terenu: magazynu gazu, obsługi</w:t>
      </w:r>
      <w:r>
        <w:rPr>
          <w:color w:val="000000"/>
          <w:u w:color="000000"/>
        </w:rPr>
        <w:t xml:space="preserve"> produktów naftowych i gospodarowania odpadami.</w:t>
      </w:r>
    </w:p>
    <w:p w14:paraId="0D3577A4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rozgraniczających zgodnie z rysunkiem planu:</w:t>
      </w:r>
    </w:p>
    <w:p w14:paraId="573B8713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terenie 1KR-KOG – zmienną od 15,6 m do 16,1 m;</w:t>
      </w:r>
    </w:p>
    <w:p w14:paraId="21B9BC18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terenie 2KR-K</w:t>
      </w:r>
      <w:r>
        <w:rPr>
          <w:color w:val="000000"/>
          <w:u w:color="000000"/>
        </w:rPr>
        <w:t>OG – zmienną od 10,1 m do 26,3 m.</w:t>
      </w:r>
    </w:p>
    <w:p w14:paraId="6D71B68A" w14:textId="77777777" w:rsidR="00A77B3E" w:rsidRDefault="00D12C8A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oraz zasad ochrony i kształtowania ładu przestrzennego ustala się:</w:t>
      </w:r>
    </w:p>
    <w:p w14:paraId="3E74B376" w14:textId="77777777" w:rsidR="00A77B3E" w:rsidRDefault="00D12C8A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1E157BED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zabudowy:</w:t>
      </w:r>
    </w:p>
    <w:p w14:paraId="39400692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 terenie 1KR-KOG – </w:t>
      </w:r>
      <w:r>
        <w:rPr>
          <w:color w:val="000000"/>
          <w:u w:color="000000"/>
        </w:rPr>
        <w:t>maksimum 0,3,</w:t>
      </w:r>
    </w:p>
    <w:p w14:paraId="6848CFDA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2KR-KOG – maksimum 0,06,</w:t>
      </w:r>
    </w:p>
    <w:p w14:paraId="4C5ABC9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zabudowy:</w:t>
      </w:r>
    </w:p>
    <w:p w14:paraId="50025B0D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1KR-KOG – minimum 0,0, maksimum 0,6,</w:t>
      </w:r>
    </w:p>
    <w:p w14:paraId="056BEC46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2KR-KOG – minimum 0,0, maksimum 0,06,</w:t>
      </w:r>
    </w:p>
    <w:p w14:paraId="1853F826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czynnej:</w:t>
      </w:r>
    </w:p>
    <w:p w14:paraId="68637E8D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 terenie 1KR-KOG – </w:t>
      </w:r>
      <w:r>
        <w:rPr>
          <w:color w:val="000000"/>
          <w:u w:color="000000"/>
        </w:rPr>
        <w:t>minimum 0,15,</w:t>
      </w:r>
    </w:p>
    <w:p w14:paraId="4BFAE2A1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2KR-KOG – minimum 0,05;</w:t>
      </w:r>
    </w:p>
    <w:p w14:paraId="72D51A8B" w14:textId="77777777" w:rsidR="00A77B3E" w:rsidRDefault="00D12C8A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74684173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5EA3DBD3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1KR-KOG:</w:t>
      </w:r>
    </w:p>
    <w:p w14:paraId="4F352204" w14:textId="77777777" w:rsidR="00A77B3E" w:rsidRDefault="00D12C8A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 xml:space="preserve">dla zewnętrznych pionowych ciągów komunikacyjnych na powierzchni stanowiącej do 2% powierzchni terenu oraz dla łączników – </w:t>
      </w:r>
      <w:r>
        <w:rPr>
          <w:color w:val="000000"/>
          <w:u w:color="000000"/>
        </w:rPr>
        <w:t>maksimum 30,0 m,</w:t>
      </w:r>
    </w:p>
    <w:p w14:paraId="4466D0AA" w14:textId="77777777" w:rsidR="00A77B3E" w:rsidRDefault="00D12C8A">
      <w:pPr>
        <w:keepLines/>
        <w:ind w:left="1020" w:hanging="227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dla pozostałej zabudowy – maksimum 7,0 m,</w:t>
      </w:r>
    </w:p>
    <w:p w14:paraId="375FE219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 terenie 2KR-KOG – maksimum 3,0 m,</w:t>
      </w:r>
    </w:p>
    <w:p w14:paraId="7471B8D6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płaskie;</w:t>
      </w:r>
    </w:p>
    <w:p w14:paraId="49CCEF30" w14:textId="77777777" w:rsidR="00A77B3E" w:rsidRDefault="00D12C8A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14:paraId="5600F19B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terenie 1KR-KOG – dla łączników zlokalizowanych poza linią zab</w:t>
      </w:r>
      <w:r>
        <w:rPr>
          <w:color w:val="000000"/>
          <w:u w:color="000000"/>
        </w:rPr>
        <w:t>udowy nieprzekraczalną – zakaz zabudowy do wysokości minimum 6,0 m, licząc od poziomu terenu,</w:t>
      </w:r>
    </w:p>
    <w:p w14:paraId="7D41BA18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rozwiązań technicznych uwzględniających potrzeby osób ze szczególnymi potrzebami,</w:t>
      </w:r>
    </w:p>
    <w:p w14:paraId="5D8D3569" w14:textId="77777777" w:rsidR="00A77B3E" w:rsidRDefault="00D12C8A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zakaz:</w:t>
      </w:r>
    </w:p>
    <w:p w14:paraId="0D46DF61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realizacji garażu nadziemnego,</w:t>
      </w:r>
    </w:p>
    <w:p w14:paraId="72F444BB" w14:textId="77777777" w:rsidR="00A77B3E" w:rsidRDefault="00D12C8A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wyniesienia kon</w:t>
      </w:r>
      <w:r>
        <w:rPr>
          <w:color w:val="000000"/>
          <w:u w:color="000000"/>
        </w:rPr>
        <w:t>dygnacji podziemnej garażu ponad poziom gruntu.</w:t>
      </w:r>
    </w:p>
    <w:p w14:paraId="1FFDB87D" w14:textId="77777777" w:rsidR="00A77B3E" w:rsidRDefault="00D12C8A">
      <w:pPr>
        <w:keepNext/>
        <w:keepLines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639B654E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17.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5B8A4FA1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18. </w:t>
      </w:r>
      <w:r>
        <w:rPr>
          <w:color w:val="000000"/>
          <w:u w:color="000000"/>
        </w:rPr>
        <w:t>Wykonanie uchwały powierza</w:t>
      </w:r>
      <w:r>
        <w:rPr>
          <w:color w:val="000000"/>
          <w:u w:color="000000"/>
        </w:rPr>
        <w:t xml:space="preserve"> się Prezydentowi Miasta Łodzi.</w:t>
      </w:r>
    </w:p>
    <w:p w14:paraId="641DBBB6" w14:textId="77777777" w:rsidR="00A77B3E" w:rsidRDefault="00D12C8A">
      <w:pPr>
        <w:keepLines/>
        <w:spacing w:before="240"/>
        <w:ind w:firstLine="567"/>
        <w:rPr>
          <w:color w:val="000000"/>
          <w:u w:color="000000"/>
        </w:rPr>
      </w:pPr>
      <w:r>
        <w:t>§ 19. </w:t>
      </w:r>
      <w:r>
        <w:rPr>
          <w:color w:val="000000"/>
          <w:u w:color="000000"/>
        </w:rPr>
        <w:t>Traci moc uchwała Nr XXIX/756/16 Rady Miejskiej w Łodzi z dnia 11 maja 2016 r. w sprawie uchwalenia miejscowego planu zagospodarowania przestrzennego dla części obszaru miasta Łodzi położonej w rejonie alei Tadeusza Ko</w:t>
      </w:r>
      <w:r>
        <w:rPr>
          <w:color w:val="000000"/>
          <w:u w:color="000000"/>
        </w:rPr>
        <w:t>ściuszki i ulic: Zachodniej, Ogrodowej, Północnej, Wschodniej, Prezydenta Gabriela Narutowicza, Henryka Sienkiewicza, Juliana Tuwima i Andrzeja Struga (Dz. Urz. Woj. Łódzkiego poz. 2396 oraz z 2023 r. poz. 4216) – w części odnoszącej się do obszaru objęteg</w:t>
      </w:r>
      <w:r>
        <w:rPr>
          <w:color w:val="000000"/>
          <w:u w:color="000000"/>
        </w:rPr>
        <w:t>o ustaleniami uchwały.</w:t>
      </w:r>
    </w:p>
    <w:p w14:paraId="63B7285B" w14:textId="77777777" w:rsidR="00A77B3E" w:rsidRDefault="00D12C8A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049412D7" w14:textId="77777777" w:rsidR="00A77B3E" w:rsidRDefault="00D12C8A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3FA3652C" w14:textId="77777777" w:rsidR="00A77B3E" w:rsidRDefault="00D12C8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5E3B74" w14:paraId="5BC15341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D231F" w14:textId="77777777" w:rsidR="005E3B74" w:rsidRDefault="005E3B7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E949CF" w14:textId="77777777" w:rsidR="005E3B74" w:rsidRDefault="00D12C8A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22A3C247" w14:textId="77777777" w:rsidR="00A77B3E" w:rsidRDefault="00D12C8A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7F60D337" w14:textId="77777777" w:rsidR="00A77B3E" w:rsidRDefault="00D12C8A">
      <w:pPr>
        <w:spacing w:before="100" w:after="10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4093D260" w14:textId="77777777" w:rsidR="00A77B3E" w:rsidRDefault="00D12C8A">
      <w:pPr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14:paraId="01FA8E36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0260A16" wp14:editId="4E5DA4EA">
            <wp:extent cx="5206939" cy="736092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6939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5F39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0207CAA1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98C8451" wp14:editId="1EBD0174">
            <wp:extent cx="5679689" cy="803605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9689" cy="80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4071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7EB62850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3ED7384" wp14:editId="57756784">
            <wp:extent cx="5720161" cy="809331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161" cy="80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7947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777A6824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E11279E" wp14:editId="0329AB20">
            <wp:extent cx="5713416" cy="8083775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416" cy="80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14A1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6DF63F86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0968C1E" wp14:editId="5A8A3C28">
            <wp:extent cx="5720161" cy="8093319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161" cy="80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EC1F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01421F3B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0432B29C" wp14:editId="27FAC99D">
            <wp:extent cx="3666744" cy="8558784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D63A" w14:textId="77777777" w:rsidR="00A77B3E" w:rsidRDefault="00D12C8A">
      <w:pPr>
        <w:spacing w:before="100" w:after="100"/>
        <w:jc w:val="center"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14:paraId="148B46F7" w14:textId="77777777" w:rsidR="00A77B3E" w:rsidRDefault="00D12C8A">
      <w:pPr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14:paraId="3E2E3325" w14:textId="77777777" w:rsidR="00A77B3E" w:rsidRDefault="00D12C8A">
      <w:pPr>
        <w:spacing w:before="100" w:after="10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złożonych w trakcie konsultacji </w:t>
      </w:r>
      <w:r>
        <w:rPr>
          <w:b/>
          <w:color w:val="000000"/>
          <w:u w:color="000000"/>
        </w:rPr>
        <w:t>społecznych.</w:t>
      </w:r>
    </w:p>
    <w:p w14:paraId="0D6CDBE0" w14:textId="77777777" w:rsidR="00A77B3E" w:rsidRDefault="00D12C8A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W trakcie konsultacji społecznych, prowadzonych w okresie od 20 października 2025 r. do 17 listopada 2025 r., nie złożono uwag do projektu planu.</w:t>
      </w:r>
    </w:p>
    <w:p w14:paraId="243BD427" w14:textId="77777777" w:rsidR="00A77B3E" w:rsidRDefault="00A77B3E">
      <w:pPr>
        <w:keepNext/>
        <w:keepLines/>
        <w:spacing w:before="100" w:after="100"/>
        <w:jc w:val="left"/>
        <w:rPr>
          <w:color w:val="000000"/>
          <w:u w:color="000000"/>
        </w:rPr>
      </w:pPr>
    </w:p>
    <w:p w14:paraId="2646A35A" w14:textId="77777777" w:rsidR="00A77B3E" w:rsidRDefault="00D12C8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5E3B74" w14:paraId="3A2C572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F57C99" w14:textId="77777777" w:rsidR="005E3B74" w:rsidRDefault="005E3B7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B9EFAC" w14:textId="77777777" w:rsidR="005E3B74" w:rsidRDefault="00D12C8A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52183973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0660D928" w14:textId="77777777" w:rsidR="00A77B3E" w:rsidRDefault="00D12C8A">
      <w:pPr>
        <w:keepNext/>
        <w:spacing w:before="320" w:after="320" w:line="276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 r.</w:t>
      </w:r>
    </w:p>
    <w:p w14:paraId="4C7787FB" w14:textId="77777777" w:rsidR="00A77B3E" w:rsidRDefault="00D12C8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</w:t>
      </w:r>
      <w:r>
        <w:rPr>
          <w:b/>
          <w:color w:val="000000"/>
          <w:u w:color="000000"/>
        </w:rPr>
        <w:t>sadach ich finansowania, zgodnie z przepisami o finansach publicznych.</w:t>
      </w:r>
    </w:p>
    <w:p w14:paraId="20A887B8" w14:textId="77777777" w:rsidR="00A77B3E" w:rsidRDefault="00D12C8A">
      <w:pPr>
        <w:keepNext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W projekcie planu nie znalazły się żadne inwestycje z zakresu infrastruktury technicznej, będące zadaniami własnymi gminy.</w:t>
      </w:r>
    </w:p>
    <w:p w14:paraId="7C6B6805" w14:textId="77777777" w:rsidR="00A77B3E" w:rsidRDefault="00D12C8A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3F828147" w14:textId="77777777" w:rsidR="00A77B3E" w:rsidRDefault="00D12C8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995"/>
      </w:tblGrid>
      <w:tr w:rsidR="005E3B74" w14:paraId="2B8F035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64535" w14:textId="77777777" w:rsidR="005E3B74" w:rsidRDefault="005E3B7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B9AF82" w14:textId="77777777" w:rsidR="005E3B74" w:rsidRDefault="00D12C8A">
            <w:pPr>
              <w:keepNext/>
              <w:keepLines/>
              <w:spacing w:before="200"/>
              <w:ind w:left="226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287FF6C6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02ADF6C" w14:textId="45F89EB3" w:rsidR="00A77B3E" w:rsidRDefault="00D12C8A">
      <w:pPr>
        <w:keepNext/>
        <w:spacing w:before="120" w:after="120" w:line="276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dnia............r.</w:t>
      </w:r>
      <w:r>
        <w:rPr>
          <w:color w:val="000000"/>
          <w:u w:color="000000"/>
        </w:rPr>
        <w:br/>
      </w:r>
      <w:r w:rsidR="00A77B3E" w:rsidRPr="00C50A45">
        <w:rPr>
          <w:u w:color="000000"/>
        </w:rPr>
        <w:t>Zalacznik4.gml</w:t>
      </w:r>
    </w:p>
    <w:p w14:paraId="17CA15BE" w14:textId="77777777" w:rsidR="00A77B3E" w:rsidRDefault="00D12C8A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2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br/>
        <w:t xml:space="preserve">Dane przestrzenne, o których mowa w art. 67a ust. 3 i 5 </w:t>
      </w:r>
      <w:r>
        <w:rPr>
          <w:b/>
          <w:color w:val="000000"/>
          <w:u w:color="000000"/>
        </w:rPr>
        <w:t>ustawy z dnia 27 marca 2003 r. o planowaniu i zagospodarowaniu przestrzennym ujawnione zostaną po kliknięciu w ikonę.</w:t>
      </w:r>
    </w:p>
    <w:p w14:paraId="3EB0D5E4" w14:textId="77777777" w:rsidR="005E3B74" w:rsidRDefault="005E3B74">
      <w:pPr>
        <w:rPr>
          <w:szCs w:val="20"/>
        </w:rPr>
      </w:pPr>
    </w:p>
    <w:p w14:paraId="210A6AB1" w14:textId="77777777" w:rsidR="005E3B74" w:rsidRDefault="00D12C8A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27ABBA21" w14:textId="77777777" w:rsidR="005E3B74" w:rsidRDefault="00D12C8A">
      <w:pPr>
        <w:spacing w:before="100" w:after="100"/>
        <w:jc w:val="center"/>
        <w:rPr>
          <w:b/>
          <w:szCs w:val="20"/>
        </w:rPr>
      </w:pPr>
      <w:r>
        <w:rPr>
          <w:b/>
          <w:szCs w:val="20"/>
        </w:rPr>
        <w:t>do projektu uchwały w sprawie uchwalenia miejscowego planu zagospodarowania przestrzennego dla części obszaru miasta Łodzi p</w:t>
      </w:r>
      <w:r>
        <w:rPr>
          <w:b/>
          <w:szCs w:val="20"/>
        </w:rPr>
        <w:t>ołożonej w rejonie ulic: Piotrkowskiej, Romualda Traugutta i Stanisława Moniuszki.</w:t>
      </w:r>
    </w:p>
    <w:p w14:paraId="021055D0" w14:textId="77777777" w:rsidR="005E3B74" w:rsidRDefault="005E3B74">
      <w:pPr>
        <w:spacing w:before="100" w:after="100"/>
        <w:jc w:val="center"/>
        <w:rPr>
          <w:szCs w:val="20"/>
        </w:rPr>
      </w:pPr>
    </w:p>
    <w:p w14:paraId="47B8CD86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 xml:space="preserve">Zgodnie z podjętą uchwałą Nr IX/241/24 Rady Miejskiej w Łodzi z dnia 6 listopada 2024 r. przystąpiono do sporządzenia projektu miejscowego planu zagospodarowania </w:t>
      </w:r>
      <w:r>
        <w:rPr>
          <w:szCs w:val="20"/>
        </w:rPr>
        <w:t>przestrzennego dla części obszaru miasta Łodzi położonej w rejonie ulic: Piotrkowskiej, Romualda Traugutta i Stanisława Moniuszki.</w:t>
      </w:r>
    </w:p>
    <w:p w14:paraId="17B17A08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Obszar objęty projektem planu miejscowego, o powierzchni około 1 ha, położony jest w ścisłym centrum miasta, na obszarze osie</w:t>
      </w:r>
      <w:r>
        <w:rPr>
          <w:szCs w:val="20"/>
        </w:rPr>
        <w:t xml:space="preserve">dla Śródmieście - Katedralna. Ograniczony jest od strony północnej – ul. R. Traugutta, od południa – ul. S. Moniuszki, od zachodu – ul. Piotrkowską, natomiast od strony wschodniej graniczy z kamienicą wielkomiejską przy </w:t>
      </w:r>
      <w:r>
        <w:rPr>
          <w:szCs w:val="20"/>
        </w:rPr>
        <w:br/>
        <w:t xml:space="preserve">ul. R. Traugutta 5 oraz działką d. </w:t>
      </w:r>
      <w:r>
        <w:rPr>
          <w:szCs w:val="20"/>
        </w:rPr>
        <w:t>willi H. Meyera przy ul. S. Moniuszki 6. Na obszarze objętym planem zlokalizowana jest historyczna zabudowa kamieniczna, d. willa L. Meyera, a także gmachy: „Grand Hotelu”, d. Towarzystwa Akcyjnego Zakładów L. Geyera oraz YMCA.</w:t>
      </w:r>
    </w:p>
    <w:p w14:paraId="0EA3420D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W wyniku realizacji ww. uchw</w:t>
      </w:r>
      <w:r>
        <w:rPr>
          <w:szCs w:val="20"/>
        </w:rPr>
        <w:t xml:space="preserve">ały został opracowany projekt planu miejscowego wraz z prognozą oddziaływania na środowisko. Po uchwaleniu plan miejscowy zastąpi obowiązujący miejscowy plan zagospodarowania przestrzennego dla części obszaru miasta Łodzi położonej w rejonie alei Tadeusza </w:t>
      </w:r>
      <w:r>
        <w:rPr>
          <w:szCs w:val="20"/>
        </w:rPr>
        <w:t>Kościuszki i ulic: Zachodniej, Ogrodowej, Północnej, Wschodniej, Prezydenta Gabriela Narutowicza, Henryka Sienkiewicza, Juliana Tuwima i Andrzeja Struga, zatwierdzony uchwałą Nr XXIX/756/16 Rady Miejskiej w Łodzi z dnia 11 maja 2016 r. (Dz. Urz. Woj. Łódzk</w:t>
      </w:r>
      <w:r>
        <w:rPr>
          <w:szCs w:val="20"/>
        </w:rPr>
        <w:t>iego poz. 2396 oraz z 2023 r. poz. 4216) – w części odnoszącej się do obszaru objętego ustaleniami projektu uchwały.</w:t>
      </w:r>
    </w:p>
    <w:p w14:paraId="2829A898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 xml:space="preserve">Celem sporządzenia nowego miejscowego planu zagospodarowania przestrzennego dla obszaru, na którym plan miejscowy obecnie obowiązuje, jest </w:t>
      </w:r>
      <w:r>
        <w:rPr>
          <w:szCs w:val="20"/>
        </w:rPr>
        <w:t>potrzeba usprawnienia procesów inwestycyjnych w ścisłym centrum miasta, w szczególności poprzez: uelastycznienie rozwiązań planistycznych m.in. w zakresie zmiany przeznaczenia terenu ciągu pieszego, usunięcie nadmiernych ograniczeń oraz uproszczenie zapisó</w:t>
      </w:r>
      <w:r>
        <w:rPr>
          <w:szCs w:val="20"/>
        </w:rPr>
        <w:t>w planistycznych. W projekcie planu zmodyfikowano przeznaczenie terenu, oznaczonego w planie obowiązującym symbolem 12.05 KDX z terenu ciągu pieszego na teren komunikacji drogowej wewnętrznej lub garaży, tym samym umożliwiając na działkach prywatnych reali</w:t>
      </w:r>
      <w:r>
        <w:rPr>
          <w:szCs w:val="20"/>
        </w:rPr>
        <w:t>zację inwestycji w postaci garażu podziemnego oraz zabudowy usługowej jako przeznaczenia uzupełniającego. Jednocześnie uwzględniono w projektowanych terenach rozwiązania umożliwiające zachowanie istniejących powiązań funkcjonalno-przestrzennych. Ponadto sp</w:t>
      </w:r>
      <w:r>
        <w:rPr>
          <w:szCs w:val="20"/>
        </w:rPr>
        <w:t>orządzając projekt uchwały przejęto zasadę minimalizowania ingerencji w istniejącą zabudowę historyczną, utrzymując wartości udziału powierzchni zabudowy i nadziemnej intensywności zabudowy na poziomie wynikającym z ustaleń planu obowiązującego. W zakresie</w:t>
      </w:r>
      <w:r>
        <w:rPr>
          <w:szCs w:val="20"/>
        </w:rPr>
        <w:t xml:space="preserve"> ustaleń dotyczących wysokości zabudowy przyjęto wartości odpowiadające zabudowie istniejącej w przypadku, gdy jej wysokość przekracza 25 m, natomiast dla zabudowy niższej przyjęto wartości na poziomie ustalonym w planie obowiązującym. Aby ożywić ruch inwe</w:t>
      </w:r>
      <w:r>
        <w:rPr>
          <w:szCs w:val="20"/>
        </w:rPr>
        <w:t xml:space="preserve">stycyjny w centrum miasta dopuszczono możliwość wprowadzenia zabudowy usługowej w terenach KR-KOG, przy zachowaniu właściwych relacji przestrzennych między budynkami oraz rygorów ochrony zabytków. </w:t>
      </w:r>
    </w:p>
    <w:p w14:paraId="613587B7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Ustalenia planu miejscowego określają m.in.: przeznaczenie</w:t>
      </w:r>
      <w:r>
        <w:rPr>
          <w:szCs w:val="20"/>
        </w:rPr>
        <w:t xml:space="preserve"> terenu, zasady zabudowy i zagospodarowania terenu, zasady ochrony i kształtowania ładu przestrzennego, zasady ochrony środowiska, przyrody i krajobrazu, granice i sposoby zagospodarowania krajobrazów priorytetowych, zasady ochrony dziedzictwa kulturowego </w:t>
      </w:r>
      <w:r>
        <w:rPr>
          <w:szCs w:val="20"/>
        </w:rPr>
        <w:t>i zabytków, w tym krajobrazów kulturowych, zasady i warunki scalania i podziału nieruchomości, szczególne warunki zagospodarowania terenów oraz ograniczenia w ich użytkowaniu, wynikające z przepisów odrębnych, zasady modernizacji, rozbudowy i budowy system</w:t>
      </w:r>
      <w:r>
        <w:rPr>
          <w:szCs w:val="20"/>
        </w:rPr>
        <w:t xml:space="preserve">ów komunikacji oraz systemowe rozwiązania w zakresie infrastruktury technicznej. Postępowanie zgodne z planem przyczyni się do usprawnienia obsługi komunikacyjnej centrum miasta, poprzez umożliwienie realizacji inwestycji odpowiadającej na zapotrzebowanie </w:t>
      </w:r>
      <w:r>
        <w:rPr>
          <w:szCs w:val="20"/>
        </w:rPr>
        <w:t>na miejsca parkingowe oraz polepszenia warunków do rozwoju funkcji usługowej w ścisłym centrum miasta, na obszarze zabytkowym.</w:t>
      </w:r>
    </w:p>
    <w:p w14:paraId="5DA44FAB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Ze względu na brak podstaw wynikających ze stanu faktycznego, w przedmiotowym projekcie planu nie określono: zasad ochrony dóbr k</w:t>
      </w:r>
      <w:r>
        <w:rPr>
          <w:szCs w:val="20"/>
        </w:rPr>
        <w:t xml:space="preserve">ultury współczesnej, </w:t>
      </w:r>
      <w:r>
        <w:rPr>
          <w:szCs w:val="20"/>
          <w:u w:color="000000"/>
        </w:rPr>
        <w:t xml:space="preserve">wymagań wynikających z potrzeb kształtowania przestrzeni publicznych, </w:t>
      </w:r>
      <w:r>
        <w:rPr>
          <w:szCs w:val="20"/>
        </w:rPr>
        <w:t>granic i sposobów zagospodarowania terenów lub obiektów podlegających ochronie, na podstawie odrębnych przepisów, terenów górniczych, a także obszarów szczególnego z</w:t>
      </w:r>
      <w:r>
        <w:rPr>
          <w:szCs w:val="20"/>
        </w:rPr>
        <w:t>agrożenia powodzią, obszarów osuwania się mas ziemnych oraz sposobu i terminu tymczasowego zagospodarowania, urządzania i użytkowania terenów.</w:t>
      </w:r>
    </w:p>
    <w:p w14:paraId="03914B4F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W projekcie planu zrezygnowano z ustalania szczególnych warunków zagospodarowania oraz ograniczeń w użytkowaniu t</w:t>
      </w:r>
      <w:r>
        <w:rPr>
          <w:szCs w:val="20"/>
        </w:rPr>
        <w:t xml:space="preserve">erenów wynikających z występowania istniejących ciepłociągów wody gorącej oraz kablowej sieci elektroenergetycznej. Szczegółowe rozwiązania dotyczące ograniczeń w użytkowaniu nieruchomości, przez które ta sieć przebiega, będą wdrażane na etapie realizacji </w:t>
      </w:r>
      <w:r>
        <w:rPr>
          <w:szCs w:val="20"/>
        </w:rPr>
        <w:t>inwestycji, na warunkach uzyskanych od gestora sieci. Wynika to z konieczności zapewnienia racjonalnych możliwości zagospodarowania i realizacji zabudowy na nieruchomościach przeznaczonych na cele budowlane. Rezygnacja z ww. ustaleń podyktowana jest brakie</w:t>
      </w:r>
      <w:r>
        <w:rPr>
          <w:szCs w:val="20"/>
        </w:rPr>
        <w:t xml:space="preserve">m powszechnie obowiązujących przepisów prawnych wskazujących zakres ograniczeń w zagospodarowaniu terenu wynikających z występowania tej infrastruktury technicznej. </w:t>
      </w:r>
    </w:p>
    <w:p w14:paraId="7802D6A9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Projekt przedstawionej uchwały został przygotowany zgodnie z obowiązującym Studium uwarunk</w:t>
      </w:r>
      <w:r>
        <w:rPr>
          <w:szCs w:val="20"/>
        </w:rPr>
        <w:t>owań i kierunków zagospodarowania przestrzennego miasta Łodzi, przyjętym uchwałą Nr LXIX/1753/18 Rady Miejskiej w Łodzi z dnia 28 marca 2018 r., zmienioną uchwałami Rady Miejskiej w Łodzi Nr VI/215/19 z dnia 6 marca 2019 r. i Nr LII/1605/21 z dnia 22 grudn</w:t>
      </w:r>
      <w:r>
        <w:rPr>
          <w:szCs w:val="20"/>
        </w:rPr>
        <w:t>ia 2021 r. w związku z art. 67 ust. 3 pkt 2 ustawy z dnia 7 lipca 2023 r. o zmianie ustawy o planowaniu i zagospodarowaniu przestrzennym oraz niektórych innych ustaw (Dz. U. poz. 1688, z 2024 r. poz. 1824 oraz z 2025 r. poz. 527). Dla obszaru objętego proj</w:t>
      </w:r>
      <w:r>
        <w:rPr>
          <w:szCs w:val="20"/>
        </w:rPr>
        <w:t>ektem planu miejscowego Studium wyznacza tereny zachowania historycznej struktury przestrzennej W1a – wielkomiejskie kwartały śródmiejskie I.</w:t>
      </w:r>
    </w:p>
    <w:p w14:paraId="1FF1FDBE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Projekt planu został sporządzony zgodnie z zakresem art. 15 ustawy z dnia 27 marca 2003 r. o planowaniu i zagospod</w:t>
      </w:r>
      <w:r>
        <w:rPr>
          <w:szCs w:val="20"/>
        </w:rPr>
        <w:t>arowaniu przestrzennym (Dz. U. z 2024 r. poz. 1130, 1907 i 1940 oraz z 2025 r. poz. 527 i 680), uwzględniając wymogi wynikające z art. 1 ust. 2-4 ww. ustawy, natomiast procedura formalno-prawna sporządzenia planu miejscowego została przeprowadzona w trybie</w:t>
      </w:r>
      <w:r>
        <w:rPr>
          <w:szCs w:val="20"/>
        </w:rPr>
        <w:t xml:space="preserve"> art. 17 ww. ustawy. </w:t>
      </w:r>
    </w:p>
    <w:p w14:paraId="21A02EAD" w14:textId="77777777" w:rsidR="005E3B74" w:rsidRDefault="005E3B74">
      <w:pPr>
        <w:spacing w:before="100" w:after="100"/>
        <w:ind w:firstLine="720"/>
        <w:rPr>
          <w:szCs w:val="20"/>
        </w:rPr>
      </w:pPr>
    </w:p>
    <w:p w14:paraId="192B75B9" w14:textId="77777777" w:rsidR="005E3B74" w:rsidRDefault="00D12C8A">
      <w:pPr>
        <w:spacing w:before="100" w:after="100"/>
        <w:rPr>
          <w:szCs w:val="20"/>
        </w:rPr>
      </w:pPr>
      <w:r>
        <w:rPr>
          <w:b/>
          <w:szCs w:val="20"/>
        </w:rPr>
        <w:t>I.</w:t>
      </w:r>
      <w:r>
        <w:rPr>
          <w:szCs w:val="20"/>
        </w:rPr>
        <w:t xml:space="preserve"> </w:t>
      </w:r>
      <w:r>
        <w:rPr>
          <w:b/>
          <w:szCs w:val="20"/>
        </w:rPr>
        <w:t>Sposób realizacji wymogów wynikających z art. 1 ust. 2 – 4 ustawy z dnia 27 marca 2003 r. o planowaniu i zagospodarowaniu przestrzennym.</w:t>
      </w:r>
    </w:p>
    <w:p w14:paraId="334FE9A3" w14:textId="77777777" w:rsidR="005E3B74" w:rsidRDefault="00D12C8A">
      <w:pPr>
        <w:spacing w:before="100" w:after="100"/>
        <w:ind w:left="284" w:hanging="284"/>
        <w:rPr>
          <w:szCs w:val="20"/>
        </w:rPr>
      </w:pPr>
      <w:r>
        <w:rPr>
          <w:szCs w:val="20"/>
        </w:rPr>
        <w:t>1.  W projekcie planu oraz w trakcie procedury jego sporządzania uwzględniono:</w:t>
      </w:r>
    </w:p>
    <w:p w14:paraId="1BC2EB3B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1) wymagania ł</w:t>
      </w:r>
      <w:r>
        <w:rPr>
          <w:szCs w:val="20"/>
        </w:rPr>
        <w:t>adu przestrzennego, w tym urbanistyki i architektury, poprzez określenie: linii rozgraniczających, linii zabudowy, przeznaczenia terenów, wskaźników zagospodarowania terenów i parametrów kształtowania zabudowy, wymagań w zakresie kształtowania elewacji bud</w:t>
      </w:r>
      <w:r>
        <w:rPr>
          <w:szCs w:val="20"/>
        </w:rPr>
        <w:t>ynków;</w:t>
      </w:r>
    </w:p>
    <w:p w14:paraId="1FC7082F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2) potrzeby zrównoważonego rozwoju poprzez wzmacnianie ruchu inwestycyjnego na obszarze o wykształconej strukturze przestrzennej, charakteryzującej się dostępem do sieci komunikacyjnej oraz infrastruktury technicznej;</w:t>
      </w:r>
    </w:p>
    <w:p w14:paraId="3191AD12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3) walory architektoniczne i kr</w:t>
      </w:r>
      <w:r>
        <w:rPr>
          <w:szCs w:val="20"/>
        </w:rPr>
        <w:t xml:space="preserve">ajobrazowe dzięki ustaleniom dotyczącym kształtowania zabudowy i zagospodarowania terenów, w tym szczególnie poprzez: wskazanie zasięgu obszarowego krajobrazu priorytetowego wyznaczonego w Audycie krajobrazowym województwa łódzkiego oraz przyjęcie ustaleń </w:t>
      </w:r>
      <w:r>
        <w:rPr>
          <w:szCs w:val="20"/>
        </w:rPr>
        <w:t>uwzględniających rekomendacje i wnioski w nim zawarte, wprowadzenie zasad i warunków sytuowania obiektów i urządzeń technicznych oraz ustalenie zasad ochrony dziedzictwa kulturowego i zabytków;</w:t>
      </w:r>
    </w:p>
    <w:p w14:paraId="3CA955A5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4) wymagania ochrony środowiska, w tym gospodarowania wodami i</w:t>
      </w:r>
      <w:r>
        <w:rPr>
          <w:szCs w:val="20"/>
        </w:rPr>
        <w:t xml:space="preserve"> zmniejszenia podatności na zmiany klimatu, poprzez wprowadzenie:</w:t>
      </w:r>
    </w:p>
    <w:p w14:paraId="47476712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a) zakazu lokalizacji przedsięwzięć mogących zawsze znacząco oraz potencjalnie znacząco oddziaływać na środowisko z określonymi wyjątkami,</w:t>
      </w:r>
    </w:p>
    <w:p w14:paraId="1949E5FF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b) nakazu stosowania kompleksowych rozwiązań w zakr</w:t>
      </w:r>
      <w:r>
        <w:rPr>
          <w:szCs w:val="20"/>
        </w:rPr>
        <w:t>esie gospodarki wodnej i odprowadzania ścieków oraz gospodarki odpadami,</w:t>
      </w:r>
    </w:p>
    <w:p w14:paraId="430933EA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c) ustaleń w zakresie ochrony powietrza,</w:t>
      </w:r>
    </w:p>
    <w:p w14:paraId="53196E66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d) ustaleń w zakresie ochrony przed promieniowaniem elektromagnetycznym,</w:t>
      </w:r>
    </w:p>
    <w:p w14:paraId="11AD2975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e) klasyfikacji terenów pod kątem ochrony akustycznej w rozumieniu pr</w:t>
      </w:r>
      <w:r>
        <w:rPr>
          <w:szCs w:val="20"/>
        </w:rPr>
        <w:t>zepisów odrębnych dotyczących dopuszczalnych poziomów hałasu w środowisku,</w:t>
      </w:r>
    </w:p>
    <w:p w14:paraId="3B1C1E48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f) minimalnego udziału powierzchni biologicznie czynnej dla wszystkich terenów;</w:t>
      </w:r>
    </w:p>
    <w:p w14:paraId="40C29383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5) wymagania ochrony dziedzictwa kulturowego i zabytków poprzez:</w:t>
      </w:r>
    </w:p>
    <w:p w14:paraId="03A1DCE3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a) wprowadzenie strefy ochrony konse</w:t>
      </w:r>
      <w:r>
        <w:rPr>
          <w:szCs w:val="20"/>
        </w:rPr>
        <w:t>rwatorskiej wraz z wytycznymi do ochrony jej zabytkowych elementów,</w:t>
      </w:r>
    </w:p>
    <w:p w14:paraId="73A3B133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b) wprowadzenie strefy ochrony archeologicznej wraz z wytycznymi do prowadzenia działań inwestycyjnych w jej obrębie,</w:t>
      </w:r>
    </w:p>
    <w:p w14:paraId="69D1EF54" w14:textId="77777777" w:rsidR="005E3B74" w:rsidRDefault="00D12C8A">
      <w:pPr>
        <w:spacing w:before="100" w:after="100"/>
        <w:ind w:firstLine="284"/>
        <w:rPr>
          <w:szCs w:val="20"/>
        </w:rPr>
      </w:pPr>
      <w:r>
        <w:rPr>
          <w:szCs w:val="20"/>
        </w:rPr>
        <w:t xml:space="preserve">c) wskazanie zabytków uznanych za pomnik historii i wpisanych do </w:t>
      </w:r>
      <w:r>
        <w:rPr>
          <w:szCs w:val="20"/>
        </w:rPr>
        <w:t>rejestru zabytków,</w:t>
      </w:r>
    </w:p>
    <w:p w14:paraId="35D768D2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d) wskazanie zabytków wpisanych do gminnej ewidencji zabytków oraz ustalenie zasad ich ochrony;</w:t>
      </w:r>
    </w:p>
    <w:p w14:paraId="23DD0B12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6) wymagania ochrony zdrowia oraz bezpieczeństwa ludzi i mienia, a także potrzeby osób ze szczególnymi potrzebami, poprzez:</w:t>
      </w:r>
    </w:p>
    <w:p w14:paraId="71FE6FA7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a) określenie zas</w:t>
      </w:r>
      <w:r>
        <w:rPr>
          <w:szCs w:val="20"/>
        </w:rPr>
        <w:t>ad ochrony środowiska,</w:t>
      </w:r>
    </w:p>
    <w:p w14:paraId="490E49C3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b) określenie minimalnej liczby miejsc parkingowych dla pojazdów zaopatrzonych w kartę parkingową,</w:t>
      </w:r>
    </w:p>
    <w:p w14:paraId="44308D7D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c) nakaz stosowania rozwiązań technicznych uwzględniających potrzeby osób ze szczególnymi potrzebami w terenach komunikacji drogowej w</w:t>
      </w:r>
      <w:r>
        <w:rPr>
          <w:szCs w:val="20"/>
        </w:rPr>
        <w:t>ewnętrznej lub garażu,</w:t>
      </w:r>
    </w:p>
    <w:p w14:paraId="15B0D179" w14:textId="77777777" w:rsidR="005E3B74" w:rsidRPr="00C50A45" w:rsidRDefault="00D12C8A">
      <w:pPr>
        <w:spacing w:before="100" w:after="100"/>
        <w:ind w:left="567" w:hanging="283"/>
        <w:rPr>
          <w:szCs w:val="20"/>
          <w:u w:color="000000"/>
          <w:lang w:eastAsia="en-US" w:bidi="en-US"/>
        </w:rPr>
      </w:pPr>
      <w:r>
        <w:rPr>
          <w:szCs w:val="20"/>
        </w:rPr>
        <w:t>d)</w:t>
      </w:r>
      <w:r w:rsidRPr="00C50A45">
        <w:rPr>
          <w:szCs w:val="20"/>
          <w:lang w:eastAsia="en-US" w:bidi="en-US"/>
        </w:rPr>
        <w:t xml:space="preserve"> ustalenie szczególnych warunków zagospodarowania terenów oraz ograniczeń w ich użytkowaniu </w:t>
      </w:r>
      <w:r>
        <w:rPr>
          <w:szCs w:val="20"/>
        </w:rPr>
        <w:t xml:space="preserve">wynikających z </w:t>
      </w:r>
      <w:r w:rsidRPr="00C50A45">
        <w:rPr>
          <w:szCs w:val="20"/>
          <w:u w:color="000000"/>
          <w:lang w:eastAsia="en-US" w:bidi="en-US"/>
        </w:rPr>
        <w:t>przepisów odrębnych dotyczących prawa lotniczego;</w:t>
      </w:r>
    </w:p>
    <w:p w14:paraId="3B60D95D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 xml:space="preserve">7) walory ekonomiczne przestrzeni poprzez racjonalne wykorzystanie </w:t>
      </w:r>
      <w:r>
        <w:rPr>
          <w:szCs w:val="20"/>
        </w:rPr>
        <w:t>istniejących elementów wyposażenia technicznego i zagospodarowania terenu przy ustalaniu możliwości inwestycyjnych;</w:t>
      </w:r>
    </w:p>
    <w:p w14:paraId="0D7F866D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8) prawo własności poprzez kształtowanie przeznaczenia terenów z uwzględnieniem ich dotychczasowego zagospodarowania i zabudowy, z poszanowa</w:t>
      </w:r>
      <w:r>
        <w:rPr>
          <w:szCs w:val="20"/>
        </w:rPr>
        <w:t>niem własności prywatnej, ograniczając ją w przypadku uzasadnionych potrzeb wynikających z interesu publicznego;</w:t>
      </w:r>
    </w:p>
    <w:p w14:paraId="7054BB91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9)</w:t>
      </w:r>
      <w:r w:rsidRPr="00C50A45">
        <w:rPr>
          <w:szCs w:val="20"/>
          <w:lang w:eastAsia="en-US" w:bidi="en-US"/>
        </w:rPr>
        <w:t> </w:t>
      </w:r>
      <w:r>
        <w:rPr>
          <w:szCs w:val="20"/>
        </w:rPr>
        <w:t>potrzeby obronności i bezpieczeństwa państwa poprzez określenie maksymalnej wysokości zabudowy oraz umożliwienie wykorzystania sieci i urząd</w:t>
      </w:r>
      <w:r>
        <w:rPr>
          <w:szCs w:val="20"/>
        </w:rPr>
        <w:t>zeń infrastruktury do działań w sytuacjach szczególnych zagrożeń; ponadto, zgodnie z art. 15 ust. 5 ww. ustawy, możliwa będzie lokalizacja budowli ochronnych;</w:t>
      </w:r>
    </w:p>
    <w:p w14:paraId="7DAC9DD0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10) potrzeby interesu publicznego wskazując w projekcie planu zasady ochrony: dziedzictwa kulturo</w:t>
      </w:r>
      <w:r>
        <w:rPr>
          <w:szCs w:val="20"/>
        </w:rPr>
        <w:t>wego i zabytków, środowiska, przyrody i krajobrazu oraz ładu przestrzennego, a także wyznaczając linie zabudowy, ograniczające możliwość lokalizacji budynków w terenach 1KR-KOG i 2KR-KOG, w celu zachowania powiązań komunikacyjnych z terenami sąsiednimi;</w:t>
      </w:r>
    </w:p>
    <w:p w14:paraId="622F2361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11</w:t>
      </w:r>
      <w:r>
        <w:rPr>
          <w:szCs w:val="20"/>
        </w:rPr>
        <w:t>) potrzeby w zakresie rozwoju infrastruktury technicznej, w szczególności sieci szerokopasmowych, określając możliwość wyposażenia terenów w sieci i urządzenia infrastruktury technicznej oraz ustalając zasady ich realizacji;</w:t>
      </w:r>
    </w:p>
    <w:p w14:paraId="456D32F4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12) zapewnienie udziału społecz</w:t>
      </w:r>
      <w:r>
        <w:rPr>
          <w:szCs w:val="20"/>
        </w:rPr>
        <w:t>eństwa w pracach nad sporządzeniem miejscowego planu zagospodarowania przestrzennego, w tym przy użyciu środków komunikacji elektronicznej, poprzez informację na stronie internetowej Miejskiej Pracowni Urbanistycznej w Łodzi, ogłoszenie w prasie i na tabli</w:t>
      </w:r>
      <w:r>
        <w:rPr>
          <w:szCs w:val="20"/>
        </w:rPr>
        <w:t>cach ogłoszeń o:</w:t>
      </w:r>
    </w:p>
    <w:p w14:paraId="09489801" w14:textId="77777777" w:rsidR="005E3B74" w:rsidRDefault="00D12C8A">
      <w:pPr>
        <w:spacing w:before="100" w:after="100"/>
        <w:ind w:left="567" w:hanging="283"/>
        <w:rPr>
          <w:szCs w:val="20"/>
        </w:rPr>
      </w:pPr>
      <w:r>
        <w:rPr>
          <w:szCs w:val="20"/>
        </w:rPr>
        <w:t>a) przystąpieniu do sporządzenia projektu planu,</w:t>
      </w:r>
    </w:p>
    <w:p w14:paraId="40FC1E47" w14:textId="77777777" w:rsidR="005E3B74" w:rsidRDefault="00D12C8A">
      <w:pPr>
        <w:spacing w:before="100" w:after="100"/>
        <w:ind w:left="435" w:hanging="150"/>
        <w:rPr>
          <w:szCs w:val="20"/>
        </w:rPr>
      </w:pPr>
      <w:r>
        <w:rPr>
          <w:szCs w:val="20"/>
        </w:rPr>
        <w:t>b) rozpoczęciu konsultacji społecznych w formie spotkania otwartego, dyżurów projektanta  oraz zbierania uwag,</w:t>
      </w:r>
    </w:p>
    <w:p w14:paraId="23226150" w14:textId="77777777" w:rsidR="005E3B74" w:rsidRDefault="00D12C8A">
      <w:pPr>
        <w:spacing w:before="100" w:after="100"/>
        <w:ind w:left="570" w:hanging="285"/>
        <w:rPr>
          <w:szCs w:val="20"/>
        </w:rPr>
      </w:pPr>
      <w:r>
        <w:rPr>
          <w:szCs w:val="20"/>
        </w:rPr>
        <w:t>c) możliwości składania wniosków i uwag do planu na piśmie utrwalonym w postaci</w:t>
      </w:r>
      <w:r>
        <w:rPr>
          <w:szCs w:val="20"/>
        </w:rPr>
        <w:t xml:space="preserve"> papierowej lub elektronicznej, w tym za pomocą środków komunikacji elektronicznej, w szczególności poczty elektronicznej, na formularzu w postaci papierowej lub w formie dokumentu elektronicznego, </w:t>
      </w:r>
    </w:p>
    <w:p w14:paraId="78FBF388" w14:textId="77777777" w:rsidR="005E3B74" w:rsidRDefault="00D12C8A">
      <w:pPr>
        <w:tabs>
          <w:tab w:val="left" w:pos="570"/>
        </w:tabs>
        <w:spacing w:before="100" w:after="100"/>
        <w:ind w:firstLine="285"/>
        <w:rPr>
          <w:szCs w:val="20"/>
        </w:rPr>
      </w:pPr>
      <w:r>
        <w:rPr>
          <w:szCs w:val="20"/>
        </w:rPr>
        <w:t>d) możliwości zapoznania się z niezbędną dokumentacją spr</w:t>
      </w:r>
      <w:r>
        <w:rPr>
          <w:szCs w:val="20"/>
        </w:rPr>
        <w:t>awy;</w:t>
      </w:r>
    </w:p>
    <w:p w14:paraId="74BA8E75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13) zachowanie jawności i przejrzystości procedur planistycznych poprzez zastosowanie się do czynności formalno-prawnych określonych w art. 17 ww. ustawy, jak również na podstawie art. 21, art. 39 i art. 54 ustawy z dnia 3 października 2008 r. o udost</w:t>
      </w:r>
      <w:r>
        <w:rPr>
          <w:szCs w:val="20"/>
        </w:rPr>
        <w:t xml:space="preserve">ępnianiu informacji o środowisku i jego ochronie, udziale społeczeństwa w ochronie środowiska oraz o ocenach oddziaływania na środowisko (Dz. U. z 2024 r. poz. 1112, 1881 i 1940 oraz z 2025 r. poz. 1535) przeprowadzając strategiczną ocenę oddziaływania na </w:t>
      </w:r>
      <w:r>
        <w:rPr>
          <w:szCs w:val="20"/>
        </w:rPr>
        <w:t>środowisko skutków realizacji przedmiotowego miejscowego planu zagospodarowania przestrzennego;</w:t>
      </w:r>
    </w:p>
    <w:p w14:paraId="33F807A1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14) potrzebę zapewnienia odpowiedniej ilości i jakości wody do celów zaopatrzenia ludności poprzez wykorzystanie istniejącej sieci wodociągowej dla obsługi wyzn</w:t>
      </w:r>
      <w:r>
        <w:rPr>
          <w:szCs w:val="20"/>
        </w:rPr>
        <w:t>aczonych w projekcie planu terenów budowlanych;</w:t>
      </w:r>
    </w:p>
    <w:p w14:paraId="4D497F55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>15) potrzeby zapobiegania poważnym awariom i ograniczania ich skutków dla zdrowia ludzkiego i środowiska, poprzez zakaz lokalizacji przedsięwzięć mogących zawsze lub potencjalnie znacząco oddziaływać na środo</w:t>
      </w:r>
      <w:r>
        <w:rPr>
          <w:szCs w:val="20"/>
        </w:rPr>
        <w:t>wisko, w tym zdrowie ludzi;</w:t>
      </w:r>
    </w:p>
    <w:p w14:paraId="17A6C389" w14:textId="77777777" w:rsidR="005E3B74" w:rsidRDefault="00D12C8A">
      <w:pPr>
        <w:spacing w:before="100" w:after="100"/>
        <w:rPr>
          <w:szCs w:val="20"/>
        </w:rPr>
      </w:pPr>
      <w:r>
        <w:rPr>
          <w:szCs w:val="20"/>
        </w:rPr>
        <w:t xml:space="preserve">Ze względu na brak podstaw wynikających ze stanu faktycznego realizacja pozostałych wymagań, walorów i potrzeb, które uwzględnia się w planowaniu i zagospodarowaniu przestrzennym zgodnie z art. 1 ust. 2 ustawy z dnia 27 marca </w:t>
      </w:r>
      <w:r>
        <w:rPr>
          <w:szCs w:val="20"/>
        </w:rPr>
        <w:t>2003 r. o planowaniu i zagospodarowaniu przestrzennym, nie ma zastosowania w niniejszym projekcie planu.</w:t>
      </w:r>
    </w:p>
    <w:p w14:paraId="73A82892" w14:textId="77777777" w:rsidR="005E3B74" w:rsidRDefault="00D12C8A">
      <w:pPr>
        <w:tabs>
          <w:tab w:val="left" w:pos="426"/>
        </w:tabs>
        <w:spacing w:before="100" w:after="100"/>
        <w:rPr>
          <w:szCs w:val="20"/>
        </w:rPr>
      </w:pPr>
      <w:r>
        <w:rPr>
          <w:szCs w:val="20"/>
        </w:rPr>
        <w:t>2. Ustalając przeznaczenie terenu lub określając potencjalny sposób zagospodarowania i korzystania z terenu, Prezydent Miasta Łodzi zważył interes publ</w:t>
      </w:r>
      <w:r>
        <w:rPr>
          <w:szCs w:val="20"/>
        </w:rPr>
        <w:t>iczny i interesy prywatne, w tym zgłaszane w postaci wniosków i uwag, a także analizy ekonomiczne, środowiskowe i społeczne.</w:t>
      </w:r>
      <w:r w:rsidRPr="00C50A45">
        <w:rPr>
          <w:szCs w:val="20"/>
          <w:lang w:eastAsia="en-US" w:bidi="en-US"/>
        </w:rPr>
        <w:t xml:space="preserve"> </w:t>
      </w:r>
      <w:r>
        <w:rPr>
          <w:szCs w:val="20"/>
        </w:rPr>
        <w:t>Przy wyborze ostatecznych rozwiązań pod uwagę brano także wnioski zgłaszane m.in. przez instytucje i organy uprawnione do uzgadnian</w:t>
      </w:r>
      <w:r>
        <w:rPr>
          <w:szCs w:val="20"/>
        </w:rPr>
        <w:t>ia i opiniowania projektu planu oraz zalecenia wynikające z opracowania ekofizjograficznego i prognozy oddziaływania na środowisko. Podczas prac nad projektem planu miejscowego kierowano się jednocześnie potrzebą właściwego kształtowania ładu przestrzenneg</w:t>
      </w:r>
      <w:r>
        <w:rPr>
          <w:szCs w:val="20"/>
        </w:rPr>
        <w:t xml:space="preserve">o, koniecznością spełnienia wymogów odrębnych oraz równoważeniem interesów publicznych i prywatnych. </w:t>
      </w:r>
    </w:p>
    <w:p w14:paraId="15296606" w14:textId="77777777" w:rsidR="005E3B74" w:rsidRDefault="00D12C8A">
      <w:pPr>
        <w:tabs>
          <w:tab w:val="left" w:pos="426"/>
        </w:tabs>
        <w:spacing w:before="100" w:after="100"/>
        <w:ind w:firstLine="709"/>
        <w:rPr>
          <w:szCs w:val="20"/>
        </w:rPr>
      </w:pPr>
      <w:r>
        <w:rPr>
          <w:szCs w:val="20"/>
        </w:rPr>
        <w:t>W terminie przewidzianym do składania wniosków do projektu miejscowego planu, tj. od 27 listopada 2024 r. do 18 grudnia 2024 r, zgodnie z art. 17 pkt 1 us</w:t>
      </w:r>
      <w:r>
        <w:rPr>
          <w:szCs w:val="20"/>
        </w:rPr>
        <w:t>tawy z dnia 27 marca 2003 r. o planowaniu i zagospodarowaniu przestrzennym, wpłynął 1 wniosek spełniający wymogi formalne, dla którego propozycja rozpatrzenia została sporządzona zarządzeniem Nr 2041/2025 Prezydenta Miasta Łodzi z dnia 6 października 2025r</w:t>
      </w:r>
      <w:r>
        <w:rPr>
          <w:szCs w:val="20"/>
        </w:rPr>
        <w:t>.</w:t>
      </w:r>
    </w:p>
    <w:p w14:paraId="703BA6C1" w14:textId="77777777" w:rsidR="005E3B74" w:rsidRDefault="00D12C8A">
      <w:pPr>
        <w:tabs>
          <w:tab w:val="left" w:pos="426"/>
        </w:tabs>
        <w:spacing w:before="100" w:after="100"/>
        <w:ind w:firstLine="709"/>
        <w:rPr>
          <w:szCs w:val="20"/>
        </w:rPr>
      </w:pPr>
      <w:r>
        <w:rPr>
          <w:szCs w:val="20"/>
        </w:rPr>
        <w:t>Ponadto, na podstawie art. 17 pkt 2 ww. ustawy, prezydent miasta zawiadomił o podjęciu ww. uchwały instytucje i organy właściwe do uzgadniania i opiniowania projektu planu miejscowego. Wpłynęły 3 wnioski spełniające wymogi formalne, dla których propozycj</w:t>
      </w:r>
      <w:r>
        <w:rPr>
          <w:szCs w:val="20"/>
        </w:rPr>
        <w:t xml:space="preserve">a rozpatrzenia została sporządzona ww. zarządzeniem Prezydenta Miasta Łodzi. Ponadto wpłynęło 10 wniosków niespełniających wymogów formalnych, które pozostawiono bez propozycji rozpatrzenia. </w:t>
      </w:r>
    </w:p>
    <w:p w14:paraId="3B792B41" w14:textId="77777777" w:rsidR="005E3B74" w:rsidRDefault="00D12C8A">
      <w:pPr>
        <w:tabs>
          <w:tab w:val="left" w:pos="426"/>
        </w:tabs>
        <w:spacing w:before="100" w:after="100"/>
        <w:ind w:firstLine="709"/>
        <w:rPr>
          <w:szCs w:val="20"/>
        </w:rPr>
      </w:pPr>
      <w:r>
        <w:rPr>
          <w:szCs w:val="20"/>
        </w:rPr>
        <w:t>Projekt miejscowego planu zagospodarowania przestrzennego został</w:t>
      </w:r>
      <w:r>
        <w:rPr>
          <w:szCs w:val="20"/>
        </w:rPr>
        <w:t xml:space="preserve"> poddany konsultacjom społecznym w okresie od 20 października 2025 r. do 17 listopada 2025 r. Jedną z form konsultacji społecznych było zbieranie uwag w ww. terminie. W wyznaczonym terminie nie wpłynęły uwagi, w związku z czym nie został sporządzony wykaz </w:t>
      </w:r>
      <w:r>
        <w:rPr>
          <w:szCs w:val="20"/>
        </w:rPr>
        <w:t>uwag oraz propozycja ich rozpatrzenia i uzasadnienie.</w:t>
      </w:r>
    </w:p>
    <w:p w14:paraId="327D413E" w14:textId="77777777" w:rsidR="005E3B74" w:rsidRDefault="00D12C8A">
      <w:pPr>
        <w:tabs>
          <w:tab w:val="left" w:pos="426"/>
        </w:tabs>
        <w:spacing w:before="100" w:after="100"/>
        <w:ind w:firstLine="709"/>
        <w:rPr>
          <w:szCs w:val="20"/>
        </w:rPr>
      </w:pPr>
      <w:r>
        <w:rPr>
          <w:szCs w:val="20"/>
        </w:rPr>
        <w:t xml:space="preserve">Zaproponowane w planie rozwiązania przestrzenne i funkcjonalne są wynikiem analizy obecnego stanu zagospodarowania oraz potrzeb rozwojowych tej części miasta. W projekcie planu miejscowego uwzględniono </w:t>
      </w:r>
      <w:r>
        <w:rPr>
          <w:szCs w:val="20"/>
        </w:rPr>
        <w:t>zachowanie istniejących terenów usługowych z uwzględnieniem zasad ochrony zabytków, a także modyfikację przeznaczenia terenu z terenu ciągu pieszego na teren komunikacji drogowej wewnętrznej lub garażu, umożliwiając realizację inwestycji w postaci garażu p</w:t>
      </w:r>
      <w:r>
        <w:rPr>
          <w:szCs w:val="20"/>
        </w:rPr>
        <w:t>odziemnego, przy jednoczesnym zachowaniu układu komunikacji drogowej, w tym pieszej i rowerowej.</w:t>
      </w:r>
    </w:p>
    <w:p w14:paraId="0A3CBF31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Dla potrzeb projektu planu miejscowego sporządzono prognozę oddziaływania na środowisko (zgodnie z art. 17 pkt 4 ww. ustawy) oraz analizę wpływu ustaleń projek</w:t>
      </w:r>
      <w:r>
        <w:rPr>
          <w:szCs w:val="20"/>
        </w:rPr>
        <w:t xml:space="preserve">tu miejscowego planu zagospodarowania przestrzennego na finanse publiczne. </w:t>
      </w:r>
    </w:p>
    <w:p w14:paraId="577F8235" w14:textId="77777777" w:rsidR="005E3B74" w:rsidRDefault="00D12C8A">
      <w:pPr>
        <w:tabs>
          <w:tab w:val="left" w:pos="426"/>
        </w:tabs>
        <w:spacing w:before="100" w:after="100"/>
        <w:rPr>
          <w:szCs w:val="20"/>
        </w:rPr>
      </w:pPr>
      <w:r>
        <w:rPr>
          <w:szCs w:val="20"/>
        </w:rPr>
        <w:t>3. Umożliwiając sytuowanie nowej zabudowy uwzględniono wymagania ładu przestrzennego, walory przyrodnicze przestrzeni, efektywne gospodarowanie przestrzenią oraz walory ekonomiczne</w:t>
      </w:r>
      <w:r>
        <w:rPr>
          <w:szCs w:val="20"/>
        </w:rPr>
        <w:t xml:space="preserve"> przestrzeni, w szczególności:</w:t>
      </w:r>
    </w:p>
    <w:p w14:paraId="51B30910" w14:textId="77777777" w:rsidR="005E3B74" w:rsidRDefault="00D12C8A">
      <w:pPr>
        <w:spacing w:before="100" w:after="100"/>
        <w:ind w:left="426" w:hanging="284"/>
        <w:rPr>
          <w:szCs w:val="20"/>
        </w:rPr>
      </w:pPr>
      <w:r>
        <w:rPr>
          <w:szCs w:val="20"/>
        </w:rPr>
        <w:t>1) projektowane struktury przestrzenne oparto o istniejący system komunikacyjny dróg wewnętrznych i publicznych;</w:t>
      </w:r>
    </w:p>
    <w:p w14:paraId="5C6F9489" w14:textId="77777777" w:rsidR="005E3B74" w:rsidRDefault="00D12C8A">
      <w:pPr>
        <w:spacing w:before="100" w:after="100"/>
        <w:ind w:left="426" w:hanging="284"/>
        <w:rPr>
          <w:szCs w:val="20"/>
        </w:rPr>
      </w:pPr>
      <w:r>
        <w:rPr>
          <w:szCs w:val="20"/>
        </w:rPr>
        <w:t>2) obszar, dla którego został sporządzony projekt planu położony jest w niedalekim sąsiedztwie dworca Łódź-Fabry</w:t>
      </w:r>
      <w:r>
        <w:rPr>
          <w:szCs w:val="20"/>
        </w:rPr>
        <w:t>czna oraz tras autobusowych i tramwajowych przebiegających m. in. wzdłuż ul. Kościuszki oraz ul. Sienkiewicza, zatem potrzeby mieszkańców w zakresie komunikacji są zaspokojone przy maksymalnym wykorzystaniu publicznego transportu zbiorowego;</w:t>
      </w:r>
    </w:p>
    <w:p w14:paraId="3FA230EC" w14:textId="77777777" w:rsidR="005E3B74" w:rsidRDefault="00D12C8A">
      <w:pPr>
        <w:spacing w:before="100" w:after="100"/>
        <w:ind w:left="426" w:hanging="284"/>
        <w:rPr>
          <w:szCs w:val="20"/>
        </w:rPr>
      </w:pPr>
      <w:r>
        <w:rPr>
          <w:szCs w:val="20"/>
        </w:rPr>
        <w:t xml:space="preserve">3) zapewniono </w:t>
      </w:r>
      <w:r>
        <w:rPr>
          <w:szCs w:val="20"/>
        </w:rPr>
        <w:t>rozwiązania przestrzenne ułatwiające przemieszczanie się pieszych i rowerzystów m. in wyznaczając w terenach komunikacji drogowej wewnętrznej lub garażu pas terenu wyłączony spod zabudowy, łączący ul. Stanisława Moniuszki z ul. Romualda Traugutta;</w:t>
      </w:r>
    </w:p>
    <w:p w14:paraId="4C3BAFD1" w14:textId="77777777" w:rsidR="005E3B74" w:rsidRDefault="00D12C8A">
      <w:pPr>
        <w:spacing w:before="100" w:after="100"/>
        <w:ind w:left="426" w:hanging="284"/>
        <w:rPr>
          <w:szCs w:val="20"/>
        </w:rPr>
      </w:pPr>
      <w:r>
        <w:rPr>
          <w:szCs w:val="20"/>
        </w:rPr>
        <w:t>4) obsza</w:t>
      </w:r>
      <w:r>
        <w:rPr>
          <w:szCs w:val="20"/>
        </w:rPr>
        <w:t>r, dla którego został sporządzony projekt planu, stanowi część zwartej struktury funkcjonalno-przestrzennej śródmieścia Łodzi, dlatego projekt planu przewiduje jedynie jej uporządkowanie oraz uzupełnienie.</w:t>
      </w:r>
    </w:p>
    <w:p w14:paraId="28D4B5DA" w14:textId="77777777" w:rsidR="005E3B74" w:rsidRDefault="005E3B74">
      <w:pPr>
        <w:spacing w:before="100" w:after="100"/>
        <w:rPr>
          <w:b/>
          <w:szCs w:val="20"/>
        </w:rPr>
      </w:pPr>
    </w:p>
    <w:p w14:paraId="03512645" w14:textId="77777777" w:rsidR="005E3B74" w:rsidRDefault="00D12C8A">
      <w:pPr>
        <w:spacing w:before="100" w:after="100"/>
        <w:rPr>
          <w:szCs w:val="20"/>
        </w:rPr>
      </w:pPr>
      <w:r>
        <w:rPr>
          <w:b/>
          <w:szCs w:val="20"/>
        </w:rPr>
        <w:t>II.</w:t>
      </w:r>
      <w:r>
        <w:rPr>
          <w:szCs w:val="20"/>
        </w:rPr>
        <w:t xml:space="preserve"> </w:t>
      </w:r>
      <w:r>
        <w:rPr>
          <w:b/>
          <w:szCs w:val="20"/>
        </w:rPr>
        <w:t xml:space="preserve">Zgodność z wynikami analizy dotyczącej oceny </w:t>
      </w:r>
      <w:r>
        <w:rPr>
          <w:b/>
          <w:szCs w:val="20"/>
        </w:rPr>
        <w:t>aktualności studium uwarunkowań i kierunków zagospodarowania przestrzennego oraz miejscowych planów zagospodarowania przestrzennego oraz sposób uwzględnienia uniwersalnego projektowania.</w:t>
      </w:r>
    </w:p>
    <w:p w14:paraId="5B35CFC6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Zgodnie z wymogiem art. 32 ust. 1 ustawy z dnia 27 marca 2003 r. o pl</w:t>
      </w:r>
      <w:r>
        <w:rPr>
          <w:szCs w:val="20"/>
        </w:rPr>
        <w:t xml:space="preserve">anowaniu i zagospodarowaniu przestrzennym w celu oceny aktualności studium i planów miejscowych Prezydent Miasta Łodzi dokonał analiz zmian w zagospodarowaniu przestrzennym. Ocena aktualności Studium uwarunkowań i kierunków zagospodarowania przestrzennego </w:t>
      </w:r>
      <w:r>
        <w:rPr>
          <w:szCs w:val="20"/>
        </w:rPr>
        <w:t>oraz miejscowych planów zagospodarowania przestrzennego miasta Łodzi przyjęta uchwałą Nr LXXXVIII/2684/24 Rady Miejskiej w Łodzi z dnia 13 marca 2024 r. nie wskazuje na nieaktualność studium na obszarze objętym projektem planu. W momencie dokonywania oceny</w:t>
      </w:r>
      <w:r>
        <w:rPr>
          <w:szCs w:val="20"/>
        </w:rPr>
        <w:t xml:space="preserve"> obszar projektu planu był objęty obowiązującym miejscowym planem zagospodarowania przestrzennego dla części obszaru miasta Łodzi położonej w rejonie alei Tadeusza Kościuszki i ulic: Zachodniej, Ogrodowej, Północnej, Wschodniej, Prezydenta Gabriela Narutow</w:t>
      </w:r>
      <w:r>
        <w:rPr>
          <w:szCs w:val="20"/>
        </w:rPr>
        <w:t>icza, Henryka Sienkiewicza, Juliana Tuwima i Andrzeja Struga, uchwalonym uchwałą Nr XXIX/756/16 Rady Miejskiej w Łodzi z dnia 11 maja 2016 r. Ocena aktualności, o której mowa powyżej, nie wykazała niezgodności obowiązującego planu miejscowego z obowiązując</w:t>
      </w:r>
      <w:r>
        <w:rPr>
          <w:szCs w:val="20"/>
        </w:rPr>
        <w:t>ym Studium uwarunkowań i kierunków zagospodarowania przestrzennego lub braku aktualności planu. Projekt uchwały jest zgodny z wynikami analizy dotyczącej ww. oceny.</w:t>
      </w:r>
    </w:p>
    <w:p w14:paraId="3A70CD4D" w14:textId="77777777" w:rsidR="005E3B74" w:rsidRDefault="00D12C8A">
      <w:pPr>
        <w:spacing w:before="100" w:after="100"/>
        <w:ind w:firstLine="720"/>
        <w:rPr>
          <w:szCs w:val="20"/>
        </w:rPr>
      </w:pPr>
      <w:r>
        <w:rPr>
          <w:szCs w:val="20"/>
        </w:rPr>
        <w:t>Projekt planu miejscowego uwzględnia uniwersalne projektowanie nakazując stosowanie rozwiąz</w:t>
      </w:r>
      <w:r>
        <w:rPr>
          <w:szCs w:val="20"/>
        </w:rPr>
        <w:t>ań uwzględniających potrzeby osób ze szczególnymi potrzebami w terenach komunikacji drogowej wewnętrznej lub garażu oraz ustalając minimalną liczbę miejsc parkingowych przeznaczonych do parkowania pojazdów zaopatrzonych w kartę parkingową, o której mowa w </w:t>
      </w:r>
      <w:r>
        <w:rPr>
          <w:szCs w:val="20"/>
        </w:rPr>
        <w:t>przepisach o ruchu drogowym.</w:t>
      </w:r>
    </w:p>
    <w:p w14:paraId="1480E2CF" w14:textId="77777777" w:rsidR="005E3B74" w:rsidRDefault="005E3B74">
      <w:pPr>
        <w:spacing w:before="100" w:after="100"/>
        <w:ind w:firstLine="720"/>
        <w:rPr>
          <w:szCs w:val="20"/>
        </w:rPr>
      </w:pPr>
    </w:p>
    <w:p w14:paraId="2F89DEE4" w14:textId="77777777" w:rsidR="005E3B74" w:rsidRDefault="00D12C8A">
      <w:pPr>
        <w:spacing w:before="100" w:after="100"/>
        <w:rPr>
          <w:b/>
          <w:szCs w:val="20"/>
        </w:rPr>
      </w:pPr>
      <w:r>
        <w:rPr>
          <w:b/>
          <w:szCs w:val="20"/>
        </w:rPr>
        <w:t>III.</w:t>
      </w:r>
      <w:r>
        <w:rPr>
          <w:szCs w:val="20"/>
        </w:rPr>
        <w:t xml:space="preserve"> </w:t>
      </w:r>
      <w:r>
        <w:rPr>
          <w:b/>
          <w:szCs w:val="20"/>
        </w:rPr>
        <w:t>Wpływ na finanse publiczne, w tym budżet gminy.</w:t>
      </w:r>
    </w:p>
    <w:p w14:paraId="57389370" w14:textId="77777777" w:rsidR="005E3B74" w:rsidRDefault="00D12C8A">
      <w:pPr>
        <w:spacing w:before="100" w:after="100"/>
        <w:ind w:firstLine="709"/>
        <w:rPr>
          <w:szCs w:val="20"/>
        </w:rPr>
      </w:pPr>
      <w:r>
        <w:rPr>
          <w:szCs w:val="20"/>
        </w:rPr>
        <w:t>Analiza wpływu ustaleń projektu miejscowego planu zagospodarowania przestrzennego na finanse publiczne, w tym na budżet gminy, określa potencjalne dochody i wydatki z tytułu</w:t>
      </w:r>
      <w:r>
        <w:rPr>
          <w:szCs w:val="20"/>
        </w:rPr>
        <w:t xml:space="preserve"> uchwalenia planu miejscowego. Wykonane obliczenia wykazały dodatni wynik finansowy, co oznacza, że dochody generowane przez nowe zagospodarowanie przewyższają wydatki. Ustalenia projektu miejscowego planu zagospodarowania przestrzennego nie generują wydat</w:t>
      </w:r>
      <w:r>
        <w:rPr>
          <w:szCs w:val="20"/>
        </w:rPr>
        <w:t xml:space="preserve">ków z budżetu gminy. Źródłem wpływów do budżetu gminy będzie podatek od nieruchomości. </w:t>
      </w:r>
    </w:p>
    <w:p w14:paraId="307D1BE3" w14:textId="77777777" w:rsidR="005E3B74" w:rsidRDefault="00D12C8A">
      <w:pPr>
        <w:spacing w:before="100" w:after="100"/>
        <w:ind w:firstLine="709"/>
        <w:rPr>
          <w:szCs w:val="20"/>
        </w:rPr>
      </w:pPr>
      <w:r>
        <w:rPr>
          <w:szCs w:val="20"/>
        </w:rPr>
        <w:t>Należy jednak mieć na uwadze, że z uwagi na brak wystarczających informacji oraz złożony charakter planowanych działań, jak również możliwość ich podejmowania z innym p</w:t>
      </w:r>
      <w:r>
        <w:rPr>
          <w:szCs w:val="20"/>
        </w:rPr>
        <w:t>rawdopodobieństwem niż przyjęte w analizie, oszacowany poziom wyniku finansowego może odbiegać od rzeczywistych przyszłych rezultatów. Nie bez znaczenia dla wpływu na ostateczny wynik pozostają także nieprzewidywalność zachowań inwestorów, poziom cen rynko</w:t>
      </w:r>
      <w:r>
        <w:rPr>
          <w:szCs w:val="20"/>
        </w:rPr>
        <w:t>wych oraz zmienność uwarunkowań w czasie. Opracowana analiza pokazuje jedynie skalę pewnych zjawisk, które mogą wystąpić w konsekwencji uchwalenia planu.</w:t>
      </w:r>
    </w:p>
    <w:p w14:paraId="4AA39208" w14:textId="77777777" w:rsidR="005E3B74" w:rsidRDefault="005E3B74">
      <w:pPr>
        <w:spacing w:before="100"/>
        <w:ind w:firstLine="720"/>
        <w:rPr>
          <w:color w:val="000000"/>
          <w:szCs w:val="20"/>
          <w:u w:color="000000"/>
        </w:rPr>
      </w:pPr>
    </w:p>
    <w:sectPr w:rsidR="005E3B74">
      <w:footerReference w:type="default" r:id="rId23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E212C" w14:textId="77777777" w:rsidR="00FD4D12" w:rsidRDefault="00FD4D12">
      <w:r>
        <w:separator/>
      </w:r>
    </w:p>
  </w:endnote>
  <w:endnote w:type="continuationSeparator" w:id="0">
    <w:p w14:paraId="308EC090" w14:textId="77777777" w:rsidR="00FD4D12" w:rsidRDefault="00FD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2B326791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17FF641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516EA97" w14:textId="77777777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7BBEECE" w14:textId="77777777" w:rsidR="005E3B74" w:rsidRDefault="005E3B74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21026A2E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C3A61E6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6CA7BF7" w14:textId="5CE9ECC4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74B02A12" w14:textId="77777777" w:rsidR="005E3B74" w:rsidRDefault="005E3B74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76622DE4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8E3D88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2DB6944" w14:textId="152CF08D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F877C04" w14:textId="77777777" w:rsidR="005E3B74" w:rsidRDefault="005E3B74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73E20C7C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3EDCDB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4AB8A35" w14:textId="7815006D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205ED5A" w14:textId="77777777" w:rsidR="005E3B74" w:rsidRDefault="005E3B74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5DE554B4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81095AE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F4B1158" w14:textId="58BE4012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1EF6145" w14:textId="77777777" w:rsidR="005E3B74" w:rsidRDefault="005E3B74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E3B74" w14:paraId="45E3FE50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07068C" w14:textId="77777777" w:rsidR="005E3B74" w:rsidRDefault="00D12C8A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F9302EB" w14:textId="15ACD0BA" w:rsidR="005E3B74" w:rsidRDefault="00D12C8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6A0102A" w14:textId="77777777" w:rsidR="005E3B74" w:rsidRDefault="005E3B74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19885" w14:textId="77777777" w:rsidR="00FD4D12" w:rsidRDefault="00FD4D12">
      <w:r>
        <w:separator/>
      </w:r>
    </w:p>
  </w:footnote>
  <w:footnote w:type="continuationSeparator" w:id="0">
    <w:p w14:paraId="4A820E73" w14:textId="77777777" w:rsidR="00FD4D12" w:rsidRDefault="00FD4D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514CCD"/>
    <w:rsid w:val="0054174C"/>
    <w:rsid w:val="005E3B74"/>
    <w:rsid w:val="00951980"/>
    <w:rsid w:val="00A77B3E"/>
    <w:rsid w:val="00C04697"/>
    <w:rsid w:val="00C21FDF"/>
    <w:rsid w:val="00C50A45"/>
    <w:rsid w:val="00CA2A55"/>
    <w:rsid w:val="00D12C8A"/>
    <w:rsid w:val="00FD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3DD390"/>
  <w15:docId w15:val="{6B27F9B7-69F5-4CCA-A094-6AF40B85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567C4699-8C8B-4C40-A845-A7A601E4E8E8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BEC848DC-D0DF-4014-8F34-023590D6FF04.jp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Zalacznik3BC6D9CC-7BB8-4198-A7B2-20C769F69CB7.pn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Zalacznik1238E288-2CB4-4324-904E-DC40728C013C.pn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6.xml"/><Relationship Id="rId10" Type="http://schemas.openxmlformats.org/officeDocument/2006/relationships/image" Target="Zalacznik47295875-43E6-4FD0-9543-057AAADB51B3.pn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7657527C-4116-41A2-B770-7A958432D13D.png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7053</Words>
  <Characters>42320</Characters>
  <Application>Microsoft Office Word</Application>
  <DocSecurity>0</DocSecurity>
  <Lines>352</Lines>
  <Paragraphs>98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 ^^^^^^^^^^^^^^^^^^^^</vt:lpstr>
      <vt:lpstr/>
    </vt:vector>
  </TitlesOfParts>
  <Company>Rada Miejska w Łodzi</Company>
  <LinksUpToDate>false</LinksUpToDate>
  <CharactersWithSpaces>49275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^^^^^^^^^^^^^^^^^^^^</dc:title>
  <dc:subject>w sprawie uchwalenia miejscowego planu zagospodarowania przestrzennego dla części obszaru miasta Łodzi położonej w^rejonie ulic: Piotrkowskiej, Romualda Traugutta i^Stanisława Moniuszki.</dc:subject>
  <dc:creator>akuligowska</dc:creator>
  <cp:lastModifiedBy>Violetta Gandziarska</cp:lastModifiedBy>
  <cp:revision>2</cp:revision>
  <dcterms:created xsi:type="dcterms:W3CDTF">2025-12-23T13:29:00Z</dcterms:created>
  <dcterms:modified xsi:type="dcterms:W3CDTF">2025-12-23T13:29:00Z</dcterms:modified>
  <cp:category>Akt prawny</cp:category>
</cp:coreProperties>
</file>