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CAD79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76A7F9BC" w14:textId="77777777" w:rsidR="00A77B3E" w:rsidRDefault="00A77B3E">
      <w:pPr>
        <w:ind w:left="6236"/>
        <w:jc w:val="left"/>
        <w:rPr>
          <w:b/>
          <w:i/>
          <w:u w:val="thick"/>
        </w:rPr>
      </w:pPr>
    </w:p>
    <w:p w14:paraId="25248807" w14:textId="5BF8452B" w:rsidR="00A77B3E" w:rsidRDefault="0007116F">
      <w:pPr>
        <w:ind w:left="6236"/>
        <w:jc w:val="left"/>
      </w:pPr>
      <w:r>
        <w:t>Druk Nr</w:t>
      </w:r>
      <w:r w:rsidR="00F46193">
        <w:t xml:space="preserve"> 9/2026</w:t>
      </w:r>
    </w:p>
    <w:p w14:paraId="05832939" w14:textId="1AD8E604" w:rsidR="00A77B3E" w:rsidRDefault="0007116F">
      <w:pPr>
        <w:ind w:left="6236"/>
        <w:jc w:val="left"/>
      </w:pPr>
      <w:r>
        <w:t>Projekt z dnia</w:t>
      </w:r>
      <w:r w:rsidR="00F46193">
        <w:t xml:space="preserve"> 02.01.2026 r.</w:t>
      </w:r>
    </w:p>
    <w:p w14:paraId="13D1176C" w14:textId="77777777" w:rsidR="00A77B3E" w:rsidRDefault="00A77B3E">
      <w:pPr>
        <w:ind w:left="6236"/>
        <w:jc w:val="left"/>
      </w:pPr>
    </w:p>
    <w:p w14:paraId="577C480D" w14:textId="77777777" w:rsidR="00A77B3E" w:rsidRDefault="0007116F">
      <w:pPr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55E4EEF1" w14:textId="77777777" w:rsidR="00A77B3E" w:rsidRDefault="0007116F">
      <w:pPr>
        <w:spacing w:before="240" w:after="240"/>
        <w:rPr>
          <w:b/>
          <w:caps/>
        </w:rPr>
      </w:pPr>
      <w:r>
        <w:rPr>
          <w:b/>
        </w:rPr>
        <w:t>z dnia                           r.</w:t>
      </w:r>
    </w:p>
    <w:p w14:paraId="4AAF73AF" w14:textId="77777777" w:rsidR="00A77B3E" w:rsidRDefault="0007116F">
      <w:pPr>
        <w:keepNext/>
        <w:spacing w:after="480"/>
      </w:pPr>
      <w:r>
        <w:rPr>
          <w:b/>
        </w:rPr>
        <w:t xml:space="preserve">w sprawie ustalenia lokalizacji inwestycji mieszkaniowej i inwestycji towarzyszącej przy ulicach: Piotrkowskiej bez numeru, </w:t>
      </w:r>
      <w:r>
        <w:rPr>
          <w:b/>
        </w:rPr>
        <w:t>Wólczańskiej bez numeru, Księdza Piotra Skargi bez numeru i Pabianickiej bez numeru w Łodzi.</w:t>
      </w:r>
    </w:p>
    <w:p w14:paraId="47F5DC23" w14:textId="77777777" w:rsidR="00A77B3E" w:rsidRDefault="0007116F">
      <w:pPr>
        <w:keepLines/>
        <w:spacing w:before="120" w:after="120"/>
        <w:ind w:firstLine="567"/>
        <w:jc w:val="both"/>
      </w:pPr>
      <w:r>
        <w:t>Na podstawie art. 18 ust. 2 pkt 15 ustawy z dnia 8 marca 1990 r. o samorządzie gminnym (Dz. U. z 2025 r. poz. 1153 i 1436) oraz art. 7 ust. 4 i art. 8 ustawy z dni</w:t>
      </w:r>
      <w:r>
        <w:t>a 5 lipca 2018 r. o ułatwieniach w przygotowaniu i realizacji inwestycji mieszkaniowych oraz inwestycji towarzyszących (Dz. U. z 2025 r. poz. 1754), Rada Miejska w Łodzi</w:t>
      </w:r>
    </w:p>
    <w:p w14:paraId="3E0B0335" w14:textId="77777777" w:rsidR="00A77B3E" w:rsidRDefault="0007116F">
      <w:pPr>
        <w:spacing w:before="120" w:after="120"/>
        <w:rPr>
          <w:b/>
        </w:rPr>
      </w:pPr>
      <w:r>
        <w:rPr>
          <w:b/>
        </w:rPr>
        <w:t>uchwala, co następuje:</w:t>
      </w:r>
    </w:p>
    <w:p w14:paraId="4786CF96" w14:textId="77777777" w:rsidR="00A77B3E" w:rsidRDefault="0007116F">
      <w:pPr>
        <w:keepLines/>
        <w:spacing w:before="240" w:after="120"/>
        <w:ind w:firstLine="567"/>
        <w:jc w:val="both"/>
      </w:pPr>
      <w:r>
        <w:t>§ 1. </w:t>
      </w:r>
      <w:r>
        <w:t>Ustala się na rzecz wnioskodawcy Centro Show Sp. z o. o. z</w:t>
      </w:r>
      <w:r>
        <w:t> siedzibą w Łodzi lokalizację inwestycji mieszkaniowej polegającej na budowie dwóch budynków wielorodzinnych z lokalami usługowymi i handlowymi oraz garażami wielostanowiskowymi wraz z obiektami budowlanymi z nimi związanymi, pod roboczą nazwą „Piotrkowska</w:t>
      </w:r>
      <w:r>
        <w:t>- Wólczańska, Apartamenty nad Dąbrówką” na działkach  nr:  177/12, 177/14, 267 i 270 oraz na częściach działek nr: 22/17, 268 i 269 w obrębie G-3 przy ulicach: Piotrkowskiej bez numeru, Wólczańskiej bez numeru i Księdza Piotra Skargi bez numeru w Łodzi i i</w:t>
      </w:r>
      <w:r>
        <w:t>nwestycji towarzyszącej polegającej na budowie: drogi dojazdowej, oznaczonej w miejscowym planie zagospodarowania przestrzennego, przyjętym uchwałą Nr LXXXVIII/1823/14 Rady Miejskiej w Łodzi z dnia 4 czerwca 2014 r. w sprawie uchwalenia miejscowego planu z</w:t>
      </w:r>
      <w:r>
        <w:t xml:space="preserve">agospodarowania przestrzennego dla części obszaru miasta Łodzi położonej w rejonie ulic: Stanisława Przybyszewskiego, Kruczej, </w:t>
      </w:r>
      <w:proofErr w:type="spellStart"/>
      <w:r>
        <w:t>Zarzewskiej</w:t>
      </w:r>
      <w:proofErr w:type="spellEnd"/>
      <w:r>
        <w:t>, Łomżyńskiej, gen. Jarosława Dąbrowskiego, Rzgowskiej, Bednarskiej Wólczańskiej, Sieradzkiej i Piotrkowskiej oraz pla</w:t>
      </w:r>
      <w:r>
        <w:t xml:space="preserve">cu Reymonta (Dz. Urz. Woj. Łódzkiego poz. 2598), zwanym dalej </w:t>
      </w:r>
      <w:proofErr w:type="spellStart"/>
      <w:r>
        <w:t>mpzp</w:t>
      </w:r>
      <w:proofErr w:type="spellEnd"/>
      <w:r>
        <w:t>, symbolem 12KDD1/2, placu i ciągu pieszego, oznaczonego w </w:t>
      </w:r>
      <w:proofErr w:type="spellStart"/>
      <w:r>
        <w:t>mpzp</w:t>
      </w:r>
      <w:proofErr w:type="spellEnd"/>
      <w:r>
        <w:t xml:space="preserve"> symbolem 2KP i terenu zieleni z miejscem rekreacji i placem zabaw na części terenu oznaczonego w </w:t>
      </w:r>
      <w:proofErr w:type="spellStart"/>
      <w:r>
        <w:t>mpzp</w:t>
      </w:r>
      <w:proofErr w:type="spellEnd"/>
      <w:r>
        <w:t xml:space="preserve"> symbolem 4ZP na działkac</w:t>
      </w:r>
      <w:r>
        <w:t>h nr: 177/11, 177/13, 193/18, 193/19, 269 i 276  oraz częściach działek nr: 193/17, 268, 271, 272, 277, 278, 1/22 i 1/34 w obrębie G-3 przy ulicach: Piotrkowskiej bez numeru, Wólczańskiej bez numeru i Pabianickiej bez numeru w Łodzi.</w:t>
      </w:r>
    </w:p>
    <w:p w14:paraId="19D68456" w14:textId="77777777" w:rsidR="00A77B3E" w:rsidRDefault="0007116F">
      <w:pPr>
        <w:keepLines/>
        <w:spacing w:before="240" w:after="120"/>
        <w:ind w:firstLine="567"/>
        <w:jc w:val="both"/>
      </w:pPr>
      <w:r>
        <w:t>§ 2. </w:t>
      </w:r>
      <w:r>
        <w:t>Określa się grani</w:t>
      </w:r>
      <w:r>
        <w:t>ce terenu objętego inwestycją mieszkaniową przedstawioną na kopii mapy zasadniczej w skali 1:1000 oznaczone linią ciągłą koloru czerwonego opisaną numerami od 1 do 35 – zgodnie z załącznikiem Nr 1 do uchwały.</w:t>
      </w:r>
    </w:p>
    <w:p w14:paraId="559F9EB9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3. </w:t>
      </w:r>
      <w:r>
        <w:t xml:space="preserve">Określa się minimalną łączną powierzchnię </w:t>
      </w:r>
      <w:r>
        <w:t>użytkową mieszkań – 22500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maksymalną łączną powierzchnię użytkową mieszkań – 25500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679903FC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4. </w:t>
      </w:r>
      <w:r>
        <w:rPr>
          <w:color w:val="000000"/>
          <w:u w:color="000000"/>
        </w:rPr>
        <w:t>Określa się minimalną liczbę mieszkań – 290 i maksymalną liczbę mieszkań – 400.</w:t>
      </w:r>
    </w:p>
    <w:p w14:paraId="743AC026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W ramach inwestycji mieszkaniowej przewiduje się od 1650 m</w:t>
      </w:r>
      <w:r>
        <w:rPr>
          <w:color w:val="000000"/>
          <w:u w:color="000000"/>
          <w:vertAlign w:val="superscript"/>
        </w:rPr>
        <w:t xml:space="preserve">2 </w:t>
      </w:r>
      <w:r>
        <w:rPr>
          <w:color w:val="000000"/>
          <w:u w:color="000000"/>
        </w:rPr>
        <w:t>do 3000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przeznaczonej na działalność handlową i usługową, która jest większa niż 5% i  nie przekroczy 20% powierzchni użytkowej mieszkań. </w:t>
      </w:r>
    </w:p>
    <w:p w14:paraId="0CEA5756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lastRenderedPageBreak/>
        <w:t>§ 6. </w:t>
      </w:r>
      <w:r>
        <w:rPr>
          <w:color w:val="000000"/>
          <w:u w:color="000000"/>
        </w:rPr>
        <w:t>Określa się zmiany w dotychczasowym sposobie zagospodarowania i uzbrojeniu terenu w ramach cztero</w:t>
      </w:r>
      <w:r>
        <w:rPr>
          <w:color w:val="000000"/>
          <w:u w:color="000000"/>
        </w:rPr>
        <w:t>etapowej realizacji (kolejność etapów A-D zostanie uzgodniona, na etapie realizacji projektu budowlanego) polegającej na:</w:t>
      </w:r>
    </w:p>
    <w:p w14:paraId="15253684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budowie budynku oznaczonego nr 1, mieszkalnego wielorodzinnego z lokalami usługowymi i handlowymi oraz z garażem wielostanowiskowym</w:t>
      </w:r>
      <w:r>
        <w:rPr>
          <w:color w:val="000000"/>
          <w:u w:color="000000"/>
        </w:rPr>
        <w:t xml:space="preserve"> wraz z obiektami budowlanymi z nimi związanymi – etap A;</w:t>
      </w:r>
    </w:p>
    <w:p w14:paraId="4FA9293D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budowie budynku oznaczonego nr 2, mieszkalnego wielorodzinnego z lokalami usługowymi i handlowymi oraz z garażem wielostanowiskowym wraz z obiektami budowlanymi z nimi związanymi – etap B;</w:t>
      </w:r>
    </w:p>
    <w:p w14:paraId="279FE759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rea</w:t>
      </w:r>
      <w:r>
        <w:rPr>
          <w:color w:val="000000"/>
          <w:u w:color="000000"/>
        </w:rPr>
        <w:t>lizacji terenów zielonych z miejscem rekreacji i placem zabaw, na terenie oznaczonym w </w:t>
      </w:r>
      <w:proofErr w:type="spellStart"/>
      <w:r>
        <w:rPr>
          <w:color w:val="000000"/>
          <w:u w:color="000000"/>
        </w:rPr>
        <w:t>mpzp</w:t>
      </w:r>
      <w:proofErr w:type="spellEnd"/>
      <w:r>
        <w:rPr>
          <w:color w:val="000000"/>
          <w:u w:color="000000"/>
        </w:rPr>
        <w:t xml:space="preserve"> symbolem 4ZP – etap C;</w:t>
      </w:r>
    </w:p>
    <w:p w14:paraId="3C7B012C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budowie drogi dojazdowej, oznaczonej w </w:t>
      </w:r>
      <w:proofErr w:type="spellStart"/>
      <w:r>
        <w:rPr>
          <w:color w:val="000000"/>
          <w:u w:color="000000"/>
        </w:rPr>
        <w:t>mpzp</w:t>
      </w:r>
      <w:proofErr w:type="spellEnd"/>
      <w:r>
        <w:rPr>
          <w:color w:val="000000"/>
          <w:u w:color="000000"/>
        </w:rPr>
        <w:t xml:space="preserve"> symbolem 12KDD1/2, placu i ciągu pieszego, oznaczonego w </w:t>
      </w:r>
      <w:proofErr w:type="spellStart"/>
      <w:r>
        <w:rPr>
          <w:color w:val="000000"/>
          <w:u w:color="000000"/>
        </w:rPr>
        <w:t>mpzp</w:t>
      </w:r>
      <w:proofErr w:type="spellEnd"/>
      <w:r>
        <w:rPr>
          <w:color w:val="000000"/>
          <w:u w:color="000000"/>
        </w:rPr>
        <w:t xml:space="preserve"> symbolem 2KP- etap D;</w:t>
      </w:r>
    </w:p>
    <w:p w14:paraId="55E8C588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zapewni</w:t>
      </w:r>
      <w:r>
        <w:rPr>
          <w:color w:val="000000"/>
          <w:u w:color="000000"/>
        </w:rPr>
        <w:t>eniu obsługi komunikacyjnej poprzez projektowane zjazdy z ulicy Wólczańskiej i ulicy Księdza Piotra Skargi na projektowaną drogę 12KDD1/2 oraz zjazd bezpośrednio do garażu podziemnego przewiduje się do realizacji wg odrębnego opracowania projektowego i pro</w:t>
      </w:r>
      <w:r>
        <w:rPr>
          <w:color w:val="000000"/>
          <w:u w:color="000000"/>
        </w:rPr>
        <w:t>cedury lokalizacyjnej; ulica Księdza Piotra Skargi zostanie przebudowana na podstawie porozumienia zawartego pomiędzy Inwestorem a Miastem Łódź.</w:t>
      </w:r>
    </w:p>
    <w:p w14:paraId="5DEED65C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Określa się powiązanie inwestycji mieszkaniowej i inwestycji towarzyszącej z istniejącym i </w:t>
      </w:r>
      <w:r>
        <w:rPr>
          <w:color w:val="000000"/>
          <w:u w:color="000000"/>
        </w:rPr>
        <w:t>planowanym uzbrojeniem terenu:</w:t>
      </w:r>
    </w:p>
    <w:p w14:paraId="2EA26D1A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woda z wodociągu miejskiego zlokalizowanego w ulicy Piotrkowskiej i ulicy Wólczańskiej z projektowanych przyłączy zgodnie z warunkami technicznymi właściwego gestora sieci;</w:t>
      </w:r>
    </w:p>
    <w:p w14:paraId="28404494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ścieki sanitarne do kanalizacji ogólnospławnej</w:t>
      </w:r>
      <w:r>
        <w:rPr>
          <w:color w:val="000000"/>
          <w:u w:color="000000"/>
        </w:rPr>
        <w:t xml:space="preserve"> zlokalizowanej w ulicy Piotrkowskiej, zgodnie z warunkami technicznymi właściwego gestora sieci;</w:t>
      </w:r>
    </w:p>
    <w:p w14:paraId="4493BC34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 xml:space="preserve">wody opadowe odprowadzane do miejskiej sieci kanalizacji ogólnospławnej  zlokalizowanej w ulicy Piotrkowskiej, zgodnie z warunkami technicznymi właściwego </w:t>
      </w:r>
      <w:r>
        <w:rPr>
          <w:color w:val="000000"/>
          <w:u w:color="000000"/>
        </w:rPr>
        <w:t>gestora sieci;</w:t>
      </w:r>
    </w:p>
    <w:p w14:paraId="72A7F9F1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ciepło z miejskiej sieci ciepła systemowego z  sieci istniejącej i projektowanej na terenie objętym wnioskiem zgodnie z warunkami technicznymi właściwego gestora sieci;</w:t>
      </w:r>
    </w:p>
    <w:p w14:paraId="312C97B3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energia elektryczna z miejskiej sieci elektroenergetycznej z ulicy</w:t>
      </w:r>
      <w:r>
        <w:rPr>
          <w:color w:val="000000"/>
          <w:u w:color="000000"/>
        </w:rPr>
        <w:t xml:space="preserve"> Księdza Piotra Skargi</w:t>
      </w:r>
      <w:r>
        <w:rPr>
          <w:color w:val="000000"/>
          <w:u w:color="000000"/>
        </w:rPr>
        <w:br/>
        <w:t>i z ulicy Wólczańskiej, zgodnie z warunkami technicznymi właściwego gestora sieci.</w:t>
      </w:r>
    </w:p>
    <w:p w14:paraId="16C47F54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8. </w:t>
      </w:r>
      <w:r>
        <w:rPr>
          <w:color w:val="000000"/>
          <w:u w:color="000000"/>
        </w:rPr>
        <w:t>Charakterystyka inwestycji mieszkaniowej i inwestycji towarzyszącej:</w:t>
      </w:r>
    </w:p>
    <w:p w14:paraId="0B557011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określa się zapotrzebowanie na wodę, energię oraz sposób odprowadzania lu</w:t>
      </w:r>
      <w:r>
        <w:rPr>
          <w:color w:val="000000"/>
          <w:u w:color="000000"/>
        </w:rPr>
        <w:t>b oczyszczania ścieków, a także inne potrzeby w zakresie uzbrojenia terenu, niezbędną liczbę miejsc postojowych, jak również sposób zagospodarowywania odpadów:</w:t>
      </w:r>
    </w:p>
    <w:p w14:paraId="67B8F8A4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woda z wodociągu miejskiego do celów bytowo-gospodarczych w maksymalnej ilości dla budynku nr</w:t>
      </w:r>
      <w:r>
        <w:rPr>
          <w:color w:val="000000"/>
          <w:u w:color="000000"/>
        </w:rPr>
        <w:t xml:space="preserve"> 1 do 5,5 dm3/s i dla budynku nr 2 do 5,5 dm3/s,</w:t>
      </w:r>
    </w:p>
    <w:p w14:paraId="3E279BD2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woda z wodociągu miejskiego do celów przeciwpożarowych w maksymalnej ilości dla budynku nr 1 do 3,0 dm3/s, dla budynku nr 2 do 2,0 dm3/s,</w:t>
      </w:r>
    </w:p>
    <w:p w14:paraId="1091A4E1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ścieki bytowo-gospodarcze do kanalizacji miejskiej – w ilości p</w:t>
      </w:r>
      <w:r>
        <w:rPr>
          <w:color w:val="000000"/>
          <w:u w:color="000000"/>
        </w:rPr>
        <w:t>obranej wody,</w:t>
      </w:r>
    </w:p>
    <w:p w14:paraId="3E6EFA32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wody opadowe w maksymalnej ilości dla budynku nr 1 do 2,0 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 i dla budynku </w:t>
      </w:r>
      <w:r>
        <w:rPr>
          <w:color w:val="000000"/>
          <w:u w:color="000000"/>
        </w:rPr>
        <w:br/>
        <w:t>nr 2 do 3,0 dm</w:t>
      </w:r>
      <w:r>
        <w:rPr>
          <w:color w:val="000000"/>
          <w:u w:color="000000"/>
          <w:vertAlign w:val="superscript"/>
        </w:rPr>
        <w:t>3</w:t>
      </w:r>
      <w:r>
        <w:rPr>
          <w:color w:val="000000"/>
          <w:u w:color="000000"/>
        </w:rPr>
        <w:t xml:space="preserve">/s  odprowadzane do sieci kanalizacji ogólnospławnej, a pozostałą ilość wód opadowych należy </w:t>
      </w:r>
      <w:proofErr w:type="spellStart"/>
      <w:r>
        <w:rPr>
          <w:color w:val="000000"/>
          <w:u w:color="000000"/>
        </w:rPr>
        <w:t>zretencjonować</w:t>
      </w:r>
      <w:proofErr w:type="spellEnd"/>
      <w:r>
        <w:rPr>
          <w:color w:val="000000"/>
          <w:u w:color="000000"/>
        </w:rPr>
        <w:t xml:space="preserve"> na terenie posesji i </w:t>
      </w:r>
      <w:r>
        <w:rPr>
          <w:color w:val="000000"/>
          <w:u w:color="000000"/>
        </w:rPr>
        <w:t>odprowadzić do kanalizacji  miejskiej w dłuższym czasie lub zagospodarować na terenie nieruchomości; w zależności od rodzaju gruntu na terenie inwestycji należy zastosować retencję powierzchniową wraz z infiltracją wód do gruntu; w przypadku braku technicz</w:t>
      </w:r>
      <w:r>
        <w:rPr>
          <w:color w:val="000000"/>
          <w:u w:color="000000"/>
        </w:rPr>
        <w:t>nej możliwości zastosowania ww. formy retencji należy przewidzieć budowę urządzeń opóźniających odpływ i zapewniających możliwie największy stopień infiltracji wód opadowych do gruntu,</w:t>
      </w:r>
    </w:p>
    <w:p w14:paraId="42811B51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>energia elektryczna z sieci miejskiej zapotrzebowanie podstawowe dla</w:t>
      </w:r>
      <w:r>
        <w:rPr>
          <w:color w:val="000000"/>
          <w:u w:color="000000"/>
        </w:rPr>
        <w:t xml:space="preserve"> całej inwestycji – maksymalnie 2500 kW w tym do 1500 kW dla budynku nr 1 i 1000 kW dla budynku</w:t>
      </w:r>
      <w:r>
        <w:rPr>
          <w:color w:val="000000"/>
          <w:u w:color="000000"/>
        </w:rPr>
        <w:br/>
        <w:t>nr 2,</w:t>
      </w:r>
    </w:p>
    <w:p w14:paraId="6E01D361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f) </w:t>
      </w:r>
      <w:r>
        <w:rPr>
          <w:color w:val="000000"/>
          <w:u w:color="000000"/>
        </w:rPr>
        <w:t>ciepło z sieci miejskiej dla całej inwestycji maksymalnie 1801,6 kW w tym dla budynku nr 1 do 1017,3 kW i dla budynku nr 2 do 784,3 kW,</w:t>
      </w:r>
    </w:p>
    <w:p w14:paraId="57173217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g) </w:t>
      </w:r>
      <w:r>
        <w:rPr>
          <w:color w:val="000000"/>
          <w:u w:color="000000"/>
        </w:rPr>
        <w:t>minimalna łą</w:t>
      </w:r>
      <w:r>
        <w:rPr>
          <w:color w:val="000000"/>
          <w:u w:color="000000"/>
        </w:rPr>
        <w:t>czna liczba miejsc postojowych, powinna być zgodna z:</w:t>
      </w:r>
    </w:p>
    <w:p w14:paraId="2FE96DF4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w zakresie obsługi mieszkań  powinna być zgodna z § 3 ust. 1 pkt 3 lit. a uchwały Nr LXXVI/2076/18 Rady Miejskiej w Łodzi z dnia 10 października 2018 r. w sprawie lokalnych standardów urbanistycznych </w:t>
      </w:r>
      <w:r>
        <w:rPr>
          <w:color w:val="000000"/>
          <w:u w:color="000000"/>
        </w:rPr>
        <w:t>dla Miasta Łodzi (Dz. Urz. Woj. Łódzkiego poz. 5644), zmienionej uchwałami Rady Miejskiej w Łodzi: Nr III/59/18 z dnia 27 grudnia 2018 r. (Dz. Urz. Woj. Łódzkiego z 2019 r. poz. 348), Nr XXXIII/1093/20 z dnia 2 grudnia 2020 r. (Dz. Urz. Woj. Łódzkiego poz.</w:t>
      </w:r>
      <w:r>
        <w:rPr>
          <w:color w:val="000000"/>
          <w:u w:color="000000"/>
        </w:rPr>
        <w:t> 7200), Nr LX/1810/22 z dnia 1 czerwca 2022 r. (Dz. Urz. Woj. Łódzkiego poz. 3675), Nr LXXIII/2191/23 z dnia 15 marca 2023 r. (Dz. Urz. Woj. Łódzkiego poz. 4066) i Nr LXXXVI/2608/24 z dnia 17 stycznia 2024 r. (Dz. Urz. Woj. Łódzkiego poz. 1102) - czyli pow</w:t>
      </w:r>
      <w:r>
        <w:rPr>
          <w:color w:val="000000"/>
          <w:u w:color="000000"/>
        </w:rPr>
        <w:t>inna wynosić co najmniej 1,5 miejsca parkingowego na lokal mieszkalny,</w:t>
      </w:r>
    </w:p>
    <w:p w14:paraId="292BFC10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 w zakresie obsługi handlu i usług powinna być zgodna z § 3 ust. 1 pkt 3 lit. b uchwały Nr LXXVI/2076/18 Rady Miejskiej w Łodzi z dnia 10 października 2018 r. w sprawie lokalnych sta</w:t>
      </w:r>
      <w:r>
        <w:rPr>
          <w:color w:val="000000"/>
          <w:u w:color="000000"/>
        </w:rPr>
        <w:t>ndardów urbanistycznych dla Miasta Łodzi (Dz. Urz. Woj. Łódzkiego poz. 5644), zmienionej uchwałami Rady Miejskiej w Łodzi: Nr III/59/18 z dnia 27 grudnia 2018 r. (Dz. Urz. Woj. Łódzkiego z 2019 r. poz. 348), Nr XXXIII/1093/20 z dnia 2 grudnia 2020 r. (Dz. </w:t>
      </w:r>
      <w:r>
        <w:rPr>
          <w:color w:val="000000"/>
          <w:u w:color="000000"/>
        </w:rPr>
        <w:t>Urz. Woj. Łódzkiego poz. 7200), Nr LX/1810/22 z dnia 1 czerwca 2022 r. (Dz. Urz. Woj. Łódzkiego poz. 3675), Nr LXXIII/2191/23 z dnia 15 marca 2023 r. (Dz. Urz. Woj. Łódzkiego poz. 4066) i Nr LXXXVI/2608/24 z dnia 17 stycznia 2024 r. (Dz. Urz. Woj. Łódzkieg</w:t>
      </w:r>
      <w:r>
        <w:rPr>
          <w:color w:val="000000"/>
          <w:u w:color="000000"/>
        </w:rPr>
        <w:t>o poz. 1102) - czyli powinna wynosić co najmniej 1,5 miejsca parkingowego na każde rozpoczęte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 części budynku stanowiącego inwestycję mieszkaniową, przeznaczoną na działalność handlową  lub usługową,</w:t>
      </w:r>
    </w:p>
    <w:p w14:paraId="1771C429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h) </w:t>
      </w:r>
      <w:r>
        <w:rPr>
          <w:color w:val="000000"/>
          <w:u w:color="000000"/>
        </w:rPr>
        <w:t>odpady komunalne będą seg</w:t>
      </w:r>
      <w:r>
        <w:rPr>
          <w:color w:val="000000"/>
          <w:u w:color="000000"/>
        </w:rPr>
        <w:t>regowane i wywożone zgodnie z Regulaminem utrzymania czystości i porządku na terenie Miasta Łodzi;</w:t>
      </w:r>
    </w:p>
    <w:p w14:paraId="027F2447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określa się planowany sposób zagospodarowania terenu oraz charakterystykę zabudowy i zagospodarowania terenu, w tym przeznaczenie projektowanych obiektów </w:t>
      </w:r>
      <w:r>
        <w:rPr>
          <w:color w:val="000000"/>
          <w:u w:color="000000"/>
        </w:rPr>
        <w:t>budowlanych, przedstawione w formie opisowej i graficznej:</w:t>
      </w:r>
    </w:p>
    <w:p w14:paraId="629F60ED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sposób zagospodarowania terenu:</w:t>
      </w:r>
    </w:p>
    <w:p w14:paraId="17565997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inwestycja obejmuje budowę dwóch budynków mieszkalnych wielorodzinnych z lokalami usługowymi i handlowymi oraz z wielostanowiskowym garażem na parterze i kondyg</w:t>
      </w:r>
      <w:r>
        <w:rPr>
          <w:color w:val="000000"/>
          <w:u w:color="000000"/>
        </w:rPr>
        <w:t>nacjach podziemnych (oznaczonych nr 1 i nr 2), zlokalizowanych w kwartale ograniczonym ulicami: Piotrkowska, Pabianicką, Wólczańską oraz Księdza Piotra Skargi,</w:t>
      </w:r>
    </w:p>
    <w:p w14:paraId="66B7B924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 xml:space="preserve">inwestycji podlega budowa, przebudowa, rozbudowa obiektów i urządzeń budowlanych </w:t>
      </w:r>
      <w:r>
        <w:rPr>
          <w:color w:val="000000"/>
          <w:u w:color="000000"/>
        </w:rPr>
        <w:t>niezbędnych do obsługi budynków mieszkaniowych wielorodzinnych</w:t>
      </w:r>
      <w:r>
        <w:rPr>
          <w:color w:val="000000"/>
          <w:u w:color="000000"/>
        </w:rPr>
        <w:br/>
        <w:t>nr 1 i nr 2,</w:t>
      </w:r>
    </w:p>
    <w:p w14:paraId="31467844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zagospodarowanie terenu obejmuje realizację m. in.: placu, ciągów pieszych, terenów zielonych z miejscem rekreacji, placem zabaw, małą architekturą, drogę dojazdową łączącą ulicę</w:t>
      </w:r>
      <w:r>
        <w:rPr>
          <w:color w:val="000000"/>
          <w:u w:color="000000"/>
        </w:rPr>
        <w:t xml:space="preserve"> Wólczańską z ulicą Księdza Piotra Skargi i uzbrojenie terenu,</w:t>
      </w:r>
    </w:p>
    <w:p w14:paraId="7780888A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dostęp do drogi publicznej poprzez projektowane zjazdy z pasa drogowego ulicy  Wólczańskiej i ulicy Księdza Piotra Skargi oraz zjazd z ulicy Wólczańskiej  prowadzący bezpośrednio do garażu po</w:t>
      </w:r>
      <w:r>
        <w:rPr>
          <w:color w:val="000000"/>
          <w:u w:color="000000"/>
        </w:rPr>
        <w:t>dziemnego budynku nr 2 (przewiduje się do realizacji wg odrębnego opracowania projektowego i procedury lokalizacyjnej); ulica Księdza Piotra Skargi zostanie przebudowana na podstawie porozumienia zawartego pomiędzy Inwestorem a Miastem Łódź.</w:t>
      </w:r>
    </w:p>
    <w:p w14:paraId="19030D0C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planowany sp</w:t>
      </w:r>
      <w:r>
        <w:rPr>
          <w:color w:val="000000"/>
          <w:u w:color="000000"/>
        </w:rPr>
        <w:t>osób zagospodarowania terenu określa załącznik Nr 2 do uchwały,</w:t>
      </w:r>
    </w:p>
    <w:p w14:paraId="25184307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charakterystyka i przeznaczenie zabudowy -  zabudowa mieszkaniowa wielorodzinna z lokalami usługowymi i handlowymi oraz z garażami wielostanowiskowymi na parterze i kondygnacjach podziemnyc</w:t>
      </w:r>
      <w:r>
        <w:rPr>
          <w:color w:val="000000"/>
          <w:u w:color="000000"/>
        </w:rPr>
        <w:t>h;</w:t>
      </w:r>
    </w:p>
    <w:p w14:paraId="2ED029D4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określa się charakterystyczne parametry techniczne inwestycji mieszkaniowej oraz dane charakteryzujące jej wpływ na środowisko, w myśl ustawy z dnia 3 października 2008 r. o udostępnianiu informacji o środowisku i jego ochronie, udziale społeczeństwa</w:t>
      </w:r>
      <w:r>
        <w:rPr>
          <w:color w:val="000000"/>
          <w:u w:color="000000"/>
        </w:rPr>
        <w:t xml:space="preserve"> w ochronie środowiska oraz o ocenach oddziaływania na środowisko (Dz. U. z 2024 r. poz. 1112, 1881 i 1940 oraz z 2025 r. poz. 1535):</w:t>
      </w:r>
    </w:p>
    <w:p w14:paraId="02E16C08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charakterystyczne parametry techniczne:</w:t>
      </w:r>
    </w:p>
    <w:p w14:paraId="1CFA235C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powierzchnia zabudowy (nadziemnej) – dla całego założenia maksymalnie do </w:t>
      </w:r>
      <w:r>
        <w:rPr>
          <w:color w:val="000000"/>
          <w:u w:color="000000"/>
        </w:rPr>
        <w:br/>
        <w:t>8 2</w:t>
      </w:r>
      <w:r>
        <w:rPr>
          <w:color w:val="000000"/>
          <w:u w:color="000000"/>
        </w:rPr>
        <w:t>80 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 w tym dla budynku nr 1 maksymalnie do 4 739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i dla budynku nr 2 maksymalnie do 3 541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432B3998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wysokość zabudowy – do 25 m i do 7 kondygnacji nadziemnych dla każdego projektowanych budynków,</w:t>
      </w:r>
    </w:p>
    <w:p w14:paraId="6C4D5D66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ilość kondygnacji podziemnych - maksymalnie 3,</w:t>
      </w:r>
    </w:p>
    <w:p w14:paraId="6F050272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kształt </w:t>
      </w:r>
      <w:r>
        <w:rPr>
          <w:color w:val="000000"/>
          <w:u w:color="000000"/>
        </w:rPr>
        <w:t>dachu i kąt nachylenia połaci dachowych dla budynku mieszkalnego – dach płaski o maksymalnym kącie nachylenia połaci dachowych do 5%,</w:t>
      </w:r>
    </w:p>
    <w:p w14:paraId="2E3BBAF0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biologicznie czynna – minimum 4 101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w granicach terenu objętego wnioskiem w tym na dachach i tarasach inwestycji mieszkaniowej, co stanowi wskaźnik minimum 21,5% powierzchni terenu w granicach wniosku,</w:t>
      </w:r>
    </w:p>
    <w:p w14:paraId="447F55D7" w14:textId="77777777" w:rsidR="00A77B3E" w:rsidRDefault="0007116F">
      <w:pPr>
        <w:keepLines/>
        <w:spacing w:before="120" w:after="120"/>
        <w:ind w:left="680" w:hanging="113"/>
        <w:jc w:val="both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powierzchnia utwardzona – maksymalnie do 9 583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40CEBF9" w14:textId="77777777" w:rsidR="00A77B3E" w:rsidRDefault="0007116F">
      <w:pPr>
        <w:keepLines/>
        <w:spacing w:before="120" w:after="120"/>
        <w:ind w:left="454" w:hanging="227"/>
        <w:jc w:val="both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zgodnie z rozporządzeniem Rady Mi</w:t>
      </w:r>
      <w:r>
        <w:rPr>
          <w:color w:val="000000"/>
          <w:u w:color="000000"/>
        </w:rPr>
        <w:t>nistrów z dnia 10 września 2019 r. w sprawie przedsięwzięć mogących znacząco oddziaływać na środowisko (Dz. U. poz. 1839, z 2022 r. poz. 1071 oraz z 2023 r. poz. 1724) projektowana inwestycja nie jest zaliczona do inwestycji mogących potencjalnie lub zawsz</w:t>
      </w:r>
      <w:r>
        <w:rPr>
          <w:color w:val="000000"/>
          <w:u w:color="000000"/>
        </w:rPr>
        <w:t xml:space="preserve">e znacząco oddziaływać na środowisko; planowana powierzchnia zabudowy mieszkaniowej wraz z powierzchnią terenu infrastruktury towarzyszącej nie przekroczy 2 ha, o których mowa w § 3 ust. 1 pkt 55 lit. b </w:t>
      </w:r>
      <w:proofErr w:type="spellStart"/>
      <w:r>
        <w:rPr>
          <w:color w:val="000000"/>
          <w:u w:color="000000"/>
        </w:rPr>
        <w:t>tiret</w:t>
      </w:r>
      <w:proofErr w:type="spellEnd"/>
      <w:r>
        <w:rPr>
          <w:color w:val="000000"/>
          <w:u w:color="000000"/>
        </w:rPr>
        <w:t xml:space="preserve"> drugie rozporządzenia, jak również powierzchnia</w:t>
      </w:r>
      <w:r>
        <w:rPr>
          <w:color w:val="000000"/>
          <w:u w:color="000000"/>
        </w:rPr>
        <w:t xml:space="preserve"> użytkowa projektowanego garażu nie przekroczy 1 ha, o których mowa w § 3 ust. 1 pkt 58 lit. b rozporządzenia.</w:t>
      </w:r>
    </w:p>
    <w:p w14:paraId="5EC5AB9D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>Obiekty objęte inwestycją mieszkaniową będą zlokalizowane na następujących nieruchomościach lub ich częściach, wskazanych według katastru ni</w:t>
      </w:r>
      <w:r>
        <w:rPr>
          <w:color w:val="000000"/>
          <w:u w:color="000000"/>
        </w:rPr>
        <w:t>eruchomości oraz księgi wieczystej:</w:t>
      </w:r>
    </w:p>
    <w:p w14:paraId="60557F0C" w14:textId="79468CF9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lastRenderedPageBreak/>
        <w:t>1) </w:t>
      </w:r>
      <w:r>
        <w:rPr>
          <w:color w:val="000000"/>
          <w:u w:color="000000"/>
        </w:rPr>
        <w:t>na działkach nr 177/12 i nr 177/14 w obrębie G-3 -</w:t>
      </w:r>
      <w:r w:rsidR="00E95BFE">
        <w:rPr>
          <w:color w:val="000000"/>
          <w:u w:color="000000"/>
        </w:rPr>
        <w:t xml:space="preserve">                                    </w:t>
      </w:r>
      <w:proofErr w:type="gramStart"/>
      <w:r w:rsidR="00E95BFE">
        <w:rPr>
          <w:color w:val="000000"/>
          <w:u w:color="000000"/>
        </w:rPr>
        <w:t xml:space="preserve">  </w:t>
      </w:r>
      <w:r>
        <w:rPr>
          <w:color w:val="000000"/>
          <w:u w:color="000000"/>
        </w:rPr>
        <w:t>;</w:t>
      </w:r>
      <w:proofErr w:type="gramEnd"/>
    </w:p>
    <w:p w14:paraId="4AF7E778" w14:textId="063ED38E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na działkach nr 267 i nr 276 oraz na części działki nr 268 w obrębie G-3 – KW</w:t>
      </w:r>
      <w:r w:rsidR="00E95BFE">
        <w:rPr>
          <w:color w:val="000000"/>
          <w:u w:color="000000"/>
        </w:rPr>
        <w:t xml:space="preserve">                                           </w:t>
      </w:r>
      <w:proofErr w:type="gramStart"/>
      <w:r w:rsidR="00E95BFE">
        <w:rPr>
          <w:color w:val="000000"/>
          <w:u w:color="000000"/>
        </w:rPr>
        <w:t xml:space="preserve">  </w:t>
      </w:r>
      <w:r>
        <w:rPr>
          <w:color w:val="000000"/>
          <w:u w:color="000000"/>
        </w:rPr>
        <w:t>;</w:t>
      </w:r>
      <w:proofErr w:type="gramEnd"/>
    </w:p>
    <w:p w14:paraId="2377C6F4" w14:textId="35B5F4E6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na działkach nr: 269, 270 i </w:t>
      </w:r>
      <w:proofErr w:type="gramStart"/>
      <w:r>
        <w:rPr>
          <w:color w:val="000000"/>
          <w:u w:color="000000"/>
        </w:rPr>
        <w:t>272  oraz</w:t>
      </w:r>
      <w:proofErr w:type="gramEnd"/>
      <w:r>
        <w:rPr>
          <w:color w:val="000000"/>
          <w:u w:color="000000"/>
        </w:rPr>
        <w:t xml:space="preserve"> na częś</w:t>
      </w:r>
      <w:r>
        <w:rPr>
          <w:color w:val="000000"/>
          <w:u w:color="000000"/>
        </w:rPr>
        <w:t>ci działki nr 271 w obrębie G-3 – KW</w:t>
      </w:r>
      <w:r w:rsidR="00E95BFE">
        <w:rPr>
          <w:color w:val="000000"/>
          <w:u w:color="000000"/>
        </w:rPr>
        <w:t xml:space="preserve">              </w:t>
      </w:r>
      <w:r>
        <w:rPr>
          <w:color w:val="000000"/>
          <w:u w:color="000000"/>
        </w:rPr>
        <w:t>;</w:t>
      </w:r>
    </w:p>
    <w:p w14:paraId="451848BF" w14:textId="671B255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na części działki nr 278 w obrębie - KW </w:t>
      </w:r>
      <w:r w:rsidR="00E95BFE">
        <w:rPr>
          <w:color w:val="000000"/>
          <w:u w:color="000000"/>
        </w:rPr>
        <w:t xml:space="preserve">                                   </w:t>
      </w:r>
      <w:proofErr w:type="gramStart"/>
      <w:r w:rsidR="00E95BFE">
        <w:rPr>
          <w:color w:val="000000"/>
          <w:u w:color="000000"/>
        </w:rPr>
        <w:t xml:space="preserve">  </w:t>
      </w:r>
      <w:r>
        <w:rPr>
          <w:color w:val="000000"/>
          <w:u w:color="000000"/>
        </w:rPr>
        <w:t>;</w:t>
      </w:r>
      <w:proofErr w:type="gramEnd"/>
    </w:p>
    <w:p w14:paraId="4FAB9383" w14:textId="7ED4B338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 xml:space="preserve">na działkach nr: 177/11, 177/13, 193/18 i 193/19 oraz część działki 193/17 w obrębie G-3 – KW </w:t>
      </w:r>
      <w:r w:rsidR="00E95BFE">
        <w:rPr>
          <w:color w:val="000000"/>
          <w:u w:color="000000"/>
        </w:rPr>
        <w:t xml:space="preserve">                           </w:t>
      </w:r>
      <w:proofErr w:type="gramStart"/>
      <w:r w:rsidR="00E95BFE">
        <w:rPr>
          <w:color w:val="000000"/>
          <w:u w:color="000000"/>
        </w:rPr>
        <w:t xml:space="preserve">  </w:t>
      </w:r>
      <w:r>
        <w:rPr>
          <w:color w:val="000000"/>
          <w:u w:color="000000"/>
        </w:rPr>
        <w:t>;</w:t>
      </w:r>
      <w:proofErr w:type="gramEnd"/>
    </w:p>
    <w:p w14:paraId="0446F76A" w14:textId="6EB6920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na części działki nr 277</w:t>
      </w:r>
      <w:r>
        <w:rPr>
          <w:color w:val="000000"/>
          <w:u w:color="000000"/>
        </w:rPr>
        <w:t xml:space="preserve"> w obrębie G-3 – KW </w:t>
      </w:r>
      <w:r w:rsidR="00E95BFE">
        <w:rPr>
          <w:color w:val="000000"/>
          <w:u w:color="000000"/>
        </w:rPr>
        <w:t xml:space="preserve">                               </w:t>
      </w:r>
      <w:proofErr w:type="gramStart"/>
      <w:r w:rsidR="00E95BFE">
        <w:rPr>
          <w:color w:val="000000"/>
          <w:u w:color="000000"/>
        </w:rPr>
        <w:t xml:space="preserve">  </w:t>
      </w:r>
      <w:r>
        <w:rPr>
          <w:color w:val="000000"/>
          <w:u w:color="000000"/>
        </w:rPr>
        <w:t>;</w:t>
      </w:r>
      <w:proofErr w:type="gramEnd"/>
    </w:p>
    <w:p w14:paraId="318E436C" w14:textId="1597001B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na części działki nr 22/17 w obrębie G-3 - KW </w:t>
      </w:r>
      <w:r w:rsidR="00E95BFE">
        <w:rPr>
          <w:color w:val="000000"/>
          <w:u w:color="000000"/>
        </w:rPr>
        <w:t xml:space="preserve">                             </w:t>
      </w:r>
      <w:proofErr w:type="gramStart"/>
      <w:r w:rsidR="00E95BFE">
        <w:rPr>
          <w:color w:val="000000"/>
          <w:u w:color="000000"/>
        </w:rPr>
        <w:t xml:space="preserve">  </w:t>
      </w:r>
      <w:r>
        <w:rPr>
          <w:color w:val="000000"/>
          <w:u w:color="000000"/>
        </w:rPr>
        <w:t>;</w:t>
      </w:r>
      <w:proofErr w:type="gramEnd"/>
    </w:p>
    <w:p w14:paraId="39BD5CA1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na części działki nr 1/34 w obrębie G-3 - brak księgi wieczystej;</w:t>
      </w:r>
    </w:p>
    <w:p w14:paraId="30975086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na części działki nr 1/22 w obrębie G-3 - brak księgi wieczystej.</w:t>
      </w:r>
    </w:p>
    <w:p w14:paraId="37F8FBD2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 xml:space="preserve">Nie </w:t>
      </w:r>
      <w:r>
        <w:rPr>
          <w:color w:val="000000"/>
          <w:u w:color="000000"/>
        </w:rPr>
        <w:t>wskazuje się nieruchomości według katastru nieruchomości oraz księgi wieczystej,   w stosunku do której decyzja o pozwoleniu na budowę inwestycji mieszkaniowej ma wywołać skutek, o którym mowa w art. 35 ust. 1 ustawy z dnia 5 lipca 2018 r. o ułatwieniach w</w:t>
      </w:r>
      <w:r>
        <w:rPr>
          <w:color w:val="000000"/>
          <w:u w:color="000000"/>
        </w:rPr>
        <w:t> przygotowaniu i realizacji inwestycji mieszkaniowych oraz inwestycji towarzyszących.</w:t>
      </w:r>
    </w:p>
    <w:p w14:paraId="65E18AA4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11. </w:t>
      </w:r>
      <w:r>
        <w:rPr>
          <w:color w:val="000000"/>
          <w:u w:color="000000"/>
        </w:rPr>
        <w:t>Nie wskazuje się nieruchomości według katastru nieruchomości oraz księgi wieczystej, o których mowa w art. 38 ust. 1 ustawy z dnia 5 lipca 2018 r. o ułatwieniach w </w:t>
      </w:r>
      <w:r>
        <w:rPr>
          <w:color w:val="000000"/>
          <w:u w:color="000000"/>
        </w:rPr>
        <w:t>przygotowaniu i realizacji inwestycji mieszkaniowych oraz inwestycji towarzyszących.</w:t>
      </w:r>
    </w:p>
    <w:p w14:paraId="1890B03D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12. </w:t>
      </w:r>
      <w:r>
        <w:rPr>
          <w:color w:val="000000"/>
          <w:u w:color="000000"/>
        </w:rPr>
        <w:t>Określa się warunki wynikające z potrzeb ochrony środowiska i ochrony zabytków:</w:t>
      </w:r>
    </w:p>
    <w:p w14:paraId="01C5D4E7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realizacja planowanej inwestycji powinna być zgodna z wymogami ochrony środowiska </w:t>
      </w:r>
      <w:r>
        <w:rPr>
          <w:color w:val="000000"/>
          <w:u w:color="000000"/>
        </w:rPr>
        <w:t>zwartymi w obowiązujących przepisach i normach, w tym w ustawie z dnia 27 kwietnia 2001 r. - Prawo ochrony środowiska (Dz. U. z 2025 r. poz. 647 i 1080);</w:t>
      </w:r>
    </w:p>
    <w:p w14:paraId="1D855300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teren inwestycji jest zlokalizowany poza formami ochrony przyrody i ich otulinami, o których mowa w</w:t>
      </w:r>
      <w:r>
        <w:rPr>
          <w:color w:val="000000"/>
          <w:u w:color="000000"/>
        </w:rPr>
        <w:t> art. 6 ustawy z dnia 16 kwietnia 2004 r. o ochronie przyrody (Dz. U. z 2024 r. poz. 1478 i 1940 oraz z 2025 r. poz. 884);</w:t>
      </w:r>
    </w:p>
    <w:p w14:paraId="1ECDD982" w14:textId="77777777" w:rsidR="00A77B3E" w:rsidRDefault="0007116F">
      <w:pPr>
        <w:spacing w:before="120" w:after="120"/>
        <w:ind w:left="227" w:hanging="227"/>
        <w:jc w:val="both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zgodnie z art. 7 ustawy z dnia 23 lipca 2003 r. o ochronie zabytków i opiece nad zabytkami (Dz. U. z 2024 r. poz. 1292 i 1907 oraz</w:t>
      </w:r>
      <w:r>
        <w:rPr>
          <w:color w:val="000000"/>
          <w:u w:color="000000"/>
        </w:rPr>
        <w:t xml:space="preserve"> z 2025 r. poz. 537 i 1168) teren planowanej inwestycji jest objęty formami ochrony konserwatorskiej, ponieważ znajduje się na obszarze historycznego układu urbanistycznego wpisanego do rejestru zabytków miasta Łodzi jako „Historyczny układ urbanistyczny u</w:t>
      </w:r>
      <w:r>
        <w:rPr>
          <w:color w:val="000000"/>
          <w:u w:color="000000"/>
        </w:rPr>
        <w:t>licy Piotrkowskiej na odcinku od alei marszałka Józefa Piłsudskiego/alei Adama Mickiewicza do ulicy Pabianickiej”; omawiany teren został także objęty ustaleniami Studium uwarunkowań i kierunków zagospodarowania przestrzennego miasta Łodzi, przyjętego uchwa</w:t>
      </w:r>
      <w:r>
        <w:rPr>
          <w:color w:val="000000"/>
          <w:u w:color="000000"/>
        </w:rPr>
        <w:t>łą Nr LXIX/1753/18 Rady Miejskiej w Łodzi z dnia 28 marca 2018 r. w sprawie uchwalenia „Studium uwarunkowań i kierunków zagospodarowania przestrzennego miasta Łodzi”, zmienioną uchwałami Rady Miejskiej w Łodzi Nr VI/215/19 z dnia 6 marca 2019 r. i Nr LII/1</w:t>
      </w:r>
      <w:r>
        <w:rPr>
          <w:color w:val="000000"/>
          <w:u w:color="000000"/>
        </w:rPr>
        <w:t>605/21 z dnia 22 grudnia 2021 r., jako obszar w strefie C - ochrony konserwatorskiej elementów rozplanowania oraz zabytków; omawiany teren został także objęty postanowieniami miejscowego planu zagospodarowania przestrzennego dla części obszaru miasta Łodzi</w:t>
      </w:r>
      <w:r>
        <w:rPr>
          <w:color w:val="000000"/>
          <w:u w:color="000000"/>
        </w:rPr>
        <w:t xml:space="preserve"> położonej w rejonie ulic: Stanisława Przybyszewskiego, Kruczej, </w:t>
      </w:r>
      <w:proofErr w:type="spellStart"/>
      <w:r>
        <w:rPr>
          <w:color w:val="000000"/>
          <w:u w:color="000000"/>
        </w:rPr>
        <w:t>Zarzewskiej</w:t>
      </w:r>
      <w:proofErr w:type="spellEnd"/>
      <w:r>
        <w:rPr>
          <w:color w:val="000000"/>
          <w:u w:color="000000"/>
        </w:rPr>
        <w:t xml:space="preserve">, Łomżyńskiej, gen. Jarosława Dąbrowskiego, Rzgowskiej, Bednarskiej, Wólczańskiej, Sieradzkiej i Piotrkowskiej oraz </w:t>
      </w:r>
      <w:r>
        <w:rPr>
          <w:color w:val="000000"/>
          <w:u w:color="000000"/>
        </w:rPr>
        <w:lastRenderedPageBreak/>
        <w:t>placu Reymonta, przyjętego uchwałą Nr LXXXVIII/1823/14 Rady Miej</w:t>
      </w:r>
      <w:r>
        <w:rPr>
          <w:color w:val="000000"/>
          <w:u w:color="000000"/>
        </w:rPr>
        <w:t>skiej w Łodzi z dnia 4 czerwca 2014 r. (Dz. Urz. Woj. Łódzkiego poz. 2598).</w:t>
      </w:r>
    </w:p>
    <w:p w14:paraId="5A1E04AD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Niniejsza uchwała nie rodzi praw do terenu oraz nie narusza prawa własności i uprawnień osób trzecich.</w:t>
      </w:r>
    </w:p>
    <w:p w14:paraId="4CA64061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14. </w:t>
      </w:r>
      <w:r>
        <w:rPr>
          <w:color w:val="000000"/>
          <w:u w:color="000000"/>
        </w:rPr>
        <w:t>Wykonanie uchwały powierza się Prezydentowi Miasta Łodzi.</w:t>
      </w:r>
    </w:p>
    <w:p w14:paraId="2100B9C8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15. </w:t>
      </w:r>
      <w:r>
        <w:rPr>
          <w:color w:val="000000"/>
          <w:u w:color="000000"/>
        </w:rPr>
        <w:t>U</w:t>
      </w:r>
      <w:r>
        <w:rPr>
          <w:color w:val="000000"/>
          <w:u w:color="000000"/>
        </w:rPr>
        <w:t>chwała podlega publikacji w Dzienniku Urzędowym Województwa Łódzkiego.</w:t>
      </w:r>
    </w:p>
    <w:p w14:paraId="33E400C1" w14:textId="77777777" w:rsidR="00A77B3E" w:rsidRDefault="0007116F">
      <w:pPr>
        <w:keepLines/>
        <w:spacing w:before="240" w:after="120"/>
        <w:ind w:firstLine="567"/>
        <w:jc w:val="both"/>
        <w:rPr>
          <w:color w:val="000000"/>
          <w:u w:color="000000"/>
        </w:rPr>
      </w:pPr>
      <w:r>
        <w:t>§ 16. </w:t>
      </w:r>
      <w:r>
        <w:rPr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9"/>
        <w:gridCol w:w="4629"/>
      </w:tblGrid>
      <w:tr w:rsidR="008C517A" w14:paraId="785566D4" w14:textId="77777777"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4CFDB073" w14:textId="77777777" w:rsidR="00A77B3E" w:rsidRDefault="00A77B3E">
            <w:pPr>
              <w:jc w:val="left"/>
              <w:rPr>
                <w:color w:val="000000"/>
                <w:u w:color="000000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3B66F86E" w14:textId="77777777" w:rsidR="00A77B3E" w:rsidRDefault="0007116F">
            <w:pPr>
              <w:spacing w:before="240" w:after="240"/>
              <w:rPr>
                <w:color w:val="000000"/>
                <w:u w:color="000000"/>
              </w:rPr>
            </w:pPr>
            <w:r>
              <w:rPr>
                <w:b/>
                <w:color w:val="000000"/>
                <w:u w:color="000000"/>
              </w:rPr>
              <w:t>Przewodniczący</w:t>
            </w:r>
            <w:r>
              <w:rPr>
                <w:b/>
                <w:color w:val="000000"/>
                <w:u w:color="000000"/>
              </w:rPr>
              <w:br/>
              <w:t>Rady Miejskiej w Łodzi</w:t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color w:val="000000"/>
                <w:u w:color="000000"/>
              </w:rPr>
              <w:br/>
            </w:r>
            <w:r>
              <w:rPr>
                <w:b/>
                <w:color w:val="000000"/>
                <w:u w:color="000000"/>
              </w:rPr>
              <w:t>Bartosz DOMASZEWICZ</w:t>
            </w:r>
          </w:p>
        </w:tc>
      </w:tr>
    </w:tbl>
    <w:p w14:paraId="7F56CF2B" w14:textId="77777777" w:rsidR="00A77B3E" w:rsidRDefault="0007116F">
      <w:pPr>
        <w:ind w:left="283" w:firstLine="227"/>
        <w:jc w:val="both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4056A413" w14:textId="77777777" w:rsidR="00A77B3E" w:rsidRDefault="0007116F">
      <w:pPr>
        <w:ind w:left="283" w:firstLine="227"/>
        <w:jc w:val="both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850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56E145B1" w14:textId="77777777" w:rsidR="00A77B3E" w:rsidRDefault="0007116F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</w:t>
      </w:r>
      <w:r>
        <w:rPr>
          <w:color w:val="000000"/>
          <w:u w:color="000000"/>
        </w:rPr>
        <w:br/>
      </w:r>
    </w:p>
    <w:p w14:paraId="1B3B7A82" w14:textId="77777777" w:rsidR="00A77B3E" w:rsidRDefault="0007116F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lastRenderedPageBreak/>
        <w:t>Granice terenu objętego inwestycją mieszkaniową i inwestycjami towarzyszącymi.</w:t>
      </w:r>
      <w:r>
        <w:rPr>
          <w:b/>
          <w:noProof/>
          <w:color w:val="000000"/>
          <w:u w:color="000000"/>
        </w:rPr>
        <w:drawing>
          <wp:inline distT="0" distB="0" distL="0" distR="0" wp14:anchorId="203A2F32" wp14:editId="73315F9C">
            <wp:extent cx="5774125" cy="7816543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78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79395" w14:textId="77777777" w:rsidR="00A77B3E" w:rsidRDefault="0007116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482DEAB1" wp14:editId="24916E6E">
            <wp:extent cx="5774125" cy="7806998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780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5AA7A" w14:textId="77777777" w:rsidR="00A77B3E" w:rsidRDefault="0007116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7A463B8A" wp14:editId="73670535">
            <wp:extent cx="5774125" cy="7816542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781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BAA6" w14:textId="77777777" w:rsidR="00A77B3E" w:rsidRDefault="0007116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523FA7A2" wp14:editId="6F0EC28C">
            <wp:extent cx="5774125" cy="7816543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781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A5237" w14:textId="77777777" w:rsidR="00A77B3E" w:rsidRDefault="0007116F">
      <w:pPr>
        <w:ind w:left="283" w:firstLine="227"/>
        <w:rPr>
          <w:color w:val="000000"/>
          <w:u w:color="000000"/>
        </w:rPr>
      </w:pPr>
      <w:r>
        <w:rPr>
          <w:noProof/>
          <w:color w:val="000000"/>
          <w:u w:color="000000"/>
        </w:rPr>
        <w:lastRenderedPageBreak/>
        <w:drawing>
          <wp:inline distT="0" distB="0" distL="0" distR="0" wp14:anchorId="244A66C1" wp14:editId="5554B12F">
            <wp:extent cx="5774125" cy="7826087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782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0CEA4" w14:textId="77777777" w:rsidR="00A77B3E" w:rsidRDefault="00A77B3E">
      <w:pPr>
        <w:ind w:left="283" w:firstLine="227"/>
        <w:rPr>
          <w:color w:val="000000"/>
          <w:u w:color="000000"/>
        </w:rPr>
        <w:sectPr w:rsidR="00A77B3E">
          <w:footerReference w:type="default" r:id="rId17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31642812" w14:textId="77777777" w:rsidR="00A77B3E" w:rsidRDefault="0007116F">
      <w:pPr>
        <w:keepNext/>
        <w:spacing w:before="120" w:after="120" w:line="276" w:lineRule="auto"/>
        <w:ind w:left="594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</w:t>
      </w:r>
      <w:r>
        <w:rPr>
          <w:color w:val="000000"/>
          <w:u w:color="000000"/>
        </w:rPr>
        <w:br/>
        <w:t>do uchwały Nr</w:t>
      </w:r>
      <w:r>
        <w:rPr>
          <w:color w:val="000000"/>
          <w:u w:color="000000"/>
        </w:rPr>
        <w:br/>
      </w:r>
      <w:r>
        <w:rPr>
          <w:color w:val="000000"/>
          <w:u w:color="000000"/>
        </w:rPr>
        <w:t>Rady Miejskiej w Łodzi</w:t>
      </w:r>
      <w:r>
        <w:rPr>
          <w:color w:val="000000"/>
          <w:u w:color="000000"/>
        </w:rPr>
        <w:br/>
        <w:t>z dnia</w:t>
      </w:r>
    </w:p>
    <w:p w14:paraId="6A6200BF" w14:textId="77777777" w:rsidR="00A77B3E" w:rsidRDefault="0007116F">
      <w:pPr>
        <w:keepNext/>
        <w:spacing w:after="480"/>
        <w:rPr>
          <w:b/>
          <w:color w:val="000000"/>
          <w:u w:color="000000"/>
        </w:rPr>
      </w:pPr>
      <w:r>
        <w:rPr>
          <w:b/>
          <w:color w:val="000000"/>
          <w:u w:color="000000"/>
        </w:rPr>
        <w:t>Planowany sposób zagospodarowania terenu.</w:t>
      </w:r>
      <w:r>
        <w:rPr>
          <w:b/>
          <w:noProof/>
          <w:color w:val="000000"/>
          <w:u w:color="000000"/>
        </w:rPr>
        <w:drawing>
          <wp:inline distT="0" distB="0" distL="0" distR="0" wp14:anchorId="2D1E4552" wp14:editId="7D562E2E">
            <wp:extent cx="5774125" cy="3435843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343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380CB" w14:textId="77777777" w:rsidR="00A77B3E" w:rsidRDefault="0007116F">
      <w:pPr>
        <w:keepNext/>
        <w:spacing w:after="480"/>
        <w:rPr>
          <w:b/>
          <w:color w:val="000000"/>
          <w:u w:color="000000"/>
        </w:rPr>
      </w:pPr>
      <w:r>
        <w:rPr>
          <w:b/>
          <w:noProof/>
          <w:color w:val="000000"/>
          <w:u w:color="000000"/>
        </w:rPr>
        <w:lastRenderedPageBreak/>
        <w:drawing>
          <wp:inline distT="0" distB="0" distL="0" distR="0" wp14:anchorId="6E36A148" wp14:editId="40D629B0">
            <wp:extent cx="5774125" cy="6871687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68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0CAAF" w14:textId="77777777" w:rsidR="00A77B3E" w:rsidRDefault="0007116F">
      <w:pPr>
        <w:keepNext/>
        <w:spacing w:after="480"/>
        <w:rPr>
          <w:b/>
          <w:color w:val="000000"/>
          <w:u w:color="000000"/>
        </w:rPr>
      </w:pPr>
      <w:r>
        <w:rPr>
          <w:b/>
          <w:noProof/>
          <w:color w:val="000000"/>
          <w:u w:color="000000"/>
        </w:rPr>
        <w:lastRenderedPageBreak/>
        <w:drawing>
          <wp:inline distT="0" distB="0" distL="0" distR="0" wp14:anchorId="730A1961" wp14:editId="657C9346">
            <wp:extent cx="5774125" cy="6871687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4125" cy="68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C5460" w14:textId="77777777" w:rsidR="00A77B3E" w:rsidRDefault="00A77B3E">
      <w:pPr>
        <w:keepNext/>
        <w:spacing w:after="480"/>
        <w:rPr>
          <w:color w:val="000000"/>
          <w:u w:color="000000"/>
        </w:rPr>
        <w:sectPr w:rsidR="00A77B3E">
          <w:footerReference w:type="default" r:id="rId24"/>
          <w:endnotePr>
            <w:numFmt w:val="decimal"/>
          </w:endnotePr>
          <w:pgSz w:w="11906" w:h="16838"/>
          <w:pgMar w:top="850" w:right="1417" w:bottom="1417" w:left="1417" w:header="708" w:footer="708" w:gutter="0"/>
          <w:pgNumType w:start="1"/>
          <w:cols w:space="708"/>
          <w:docGrid w:linePitch="360"/>
        </w:sectPr>
      </w:pPr>
    </w:p>
    <w:p w14:paraId="7C9D8E36" w14:textId="77777777" w:rsidR="008C517A" w:rsidRDefault="0007116F">
      <w:pPr>
        <w:spacing w:before="120" w:after="120"/>
        <w:rPr>
          <w:b/>
          <w:color w:val="000000"/>
          <w:szCs w:val="20"/>
        </w:rPr>
      </w:pPr>
      <w:r>
        <w:rPr>
          <w:b/>
          <w:color w:val="000000"/>
          <w:szCs w:val="20"/>
        </w:rPr>
        <w:lastRenderedPageBreak/>
        <w:t>Uzasadnienie</w:t>
      </w:r>
    </w:p>
    <w:p w14:paraId="4365AC51" w14:textId="77777777" w:rsidR="008C517A" w:rsidRDefault="0007116F">
      <w:pPr>
        <w:keepLines/>
        <w:spacing w:before="120" w:after="120"/>
        <w:ind w:firstLine="720"/>
        <w:jc w:val="both"/>
        <w:rPr>
          <w:szCs w:val="20"/>
        </w:rPr>
      </w:pPr>
      <w:r>
        <w:rPr>
          <w:szCs w:val="20"/>
        </w:rPr>
        <w:t xml:space="preserve">Pełnomocnik inwestora Centro Show Sp. z o.o. pismem z dnia 1 sierpnia 2025 r.  wystąpił do Rady Miejskiej w Łodzi, </w:t>
      </w:r>
      <w:r>
        <w:rPr>
          <w:szCs w:val="20"/>
        </w:rPr>
        <w:t xml:space="preserve">za pośrednictwem Prezydenta Miasta Łodzi - Biura Architekta Miasta w Departamencie Planowania i Rozwoju Gospodarczego Urzędu Miasta Łodzi, o ustalenie na podstawie art. 7 ust. 1 i 6 ustawy z dnia 5 lipca 2018 r. o ułatwieniach w przygotowaniu i realizacji </w:t>
      </w:r>
      <w:r>
        <w:rPr>
          <w:szCs w:val="20"/>
        </w:rPr>
        <w:t>inwestycji mieszkaniowych i inwestycji towarzyszących (Dz. U. z </w:t>
      </w:r>
      <w:r>
        <w:rPr>
          <w:color w:val="000000"/>
          <w:szCs w:val="20"/>
        </w:rPr>
        <w:t xml:space="preserve">2024 r. poz. 195 </w:t>
      </w:r>
      <w:r>
        <w:rPr>
          <w:color w:val="000000"/>
          <w:szCs w:val="20"/>
          <w:shd w:val="clear" w:color="auto" w:fill="FFFFFF"/>
        </w:rPr>
        <w:t>oraz z 2025 r. poz. 527), zwanej dalej specustawą lokalizacji inwestycji mieszkaniowej, polegającej na b</w:t>
      </w:r>
      <w:r>
        <w:rPr>
          <w:szCs w:val="20"/>
        </w:rPr>
        <w:t>udowie dwóch budynków wielorodzinnych z lokalami usługowymi i handlowym</w:t>
      </w:r>
      <w:r>
        <w:rPr>
          <w:szCs w:val="20"/>
        </w:rPr>
        <w:t>i oraz garażami wielostanowiskowymi wraz z obiektami budowlanymi z nimi związanymi pod roboczą nazwą „Piotrkowska- Wólczańska, Apartamenty nad Dąbrówką” na działkach  nr:  177/12, 177/14, 267 i 270 oraz na częściach działek nr: 22/17, 268 i 269 w obrębie G</w:t>
      </w:r>
      <w:r>
        <w:rPr>
          <w:szCs w:val="20"/>
        </w:rPr>
        <w:t>-3 przy ulicach: Piotrkowskiej bez numeru, Wólczańskiej bez numeru i księdza Piotra Skargi bez numeru w Łodzi i inwestycji towarzyszącej polegającej na budowie: drogi dojazdowej, oznaczonej w miejscowym planie zagospodarowania przestrzennego (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>), przyję</w:t>
      </w:r>
      <w:r>
        <w:rPr>
          <w:szCs w:val="20"/>
        </w:rPr>
        <w:t xml:space="preserve">tym uchwałą </w:t>
      </w:r>
      <w:r>
        <w:rPr>
          <w:color w:val="000000"/>
          <w:szCs w:val="20"/>
          <w:shd w:val="clear" w:color="auto" w:fill="FFFFFF"/>
        </w:rPr>
        <w:t xml:space="preserve">Nr LXXXVIII/1823/14  Rady Miejskiej w Łodzi z dnia 4 czerwca 2014 r. w sprawie uchwalenia miejscowego planu zagospodarowania przestrzennego dla części obszaru miasta Łodzi położonej w rejonie ulic: Stanisława Przybyszewskiego, Kruczej, </w:t>
      </w:r>
      <w:proofErr w:type="spellStart"/>
      <w:r>
        <w:rPr>
          <w:color w:val="000000"/>
          <w:szCs w:val="20"/>
          <w:shd w:val="clear" w:color="auto" w:fill="FFFFFF"/>
        </w:rPr>
        <w:t>Zarzewsk</w:t>
      </w:r>
      <w:r>
        <w:rPr>
          <w:color w:val="000000"/>
          <w:szCs w:val="20"/>
          <w:shd w:val="clear" w:color="auto" w:fill="FFFFFF"/>
        </w:rPr>
        <w:t>iej</w:t>
      </w:r>
      <w:proofErr w:type="spellEnd"/>
      <w:r>
        <w:rPr>
          <w:color w:val="000000"/>
          <w:szCs w:val="20"/>
          <w:shd w:val="clear" w:color="auto" w:fill="FFFFFF"/>
        </w:rPr>
        <w:t xml:space="preserve">, Łomżyńskiej, gen. Jarosława Dąbrowskiego, Rzgowskiej, Bednarskiej Wólczańskiej, Sieradzkiej i Piotrkowskiej oraz placu Reymonta (Dz. Urz. Woj. Łódzkiego poz. 2598) </w:t>
      </w:r>
      <w:r>
        <w:rPr>
          <w:szCs w:val="20"/>
        </w:rPr>
        <w:t xml:space="preserve">symbolem 12KDD1/2, placu i ciągu pieszego, oznaczonego w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 symbolem 2KP i terenu zie</w:t>
      </w:r>
      <w:r>
        <w:rPr>
          <w:szCs w:val="20"/>
        </w:rPr>
        <w:t xml:space="preserve">leni z miejscem rekreacji i placem zabaw na części terenu oznaczonego w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 symbolem 4ZP na działkach nr: 177/11, 177/13, 193/18, 193/19, 269 i 276  oraz częściach działek nr: 193/17, 268, 271, 272, 277, 278, 1/22 i 1/34 w obrębie G-3 przy ulicach: Piotrk</w:t>
      </w:r>
      <w:r>
        <w:rPr>
          <w:szCs w:val="20"/>
        </w:rPr>
        <w:t>owskiej bez numeru, Wólczańskiej bez numeru i Pabianickiej bez numeru w Łodzi.</w:t>
      </w:r>
    </w:p>
    <w:p w14:paraId="2E90779E" w14:textId="77777777" w:rsidR="008C517A" w:rsidRDefault="0007116F">
      <w:pPr>
        <w:ind w:firstLine="720"/>
        <w:jc w:val="both"/>
        <w:rPr>
          <w:color w:val="1F497D"/>
          <w:szCs w:val="20"/>
        </w:rPr>
      </w:pPr>
      <w:r>
        <w:rPr>
          <w:szCs w:val="20"/>
          <w:shd w:val="clear" w:color="auto" w:fill="FFFFFF"/>
        </w:rPr>
        <w:t xml:space="preserve"> Wniosek uległ modyfikacji przy piśmie z dnia 20 października 2025 r. (data wpływu 21.10.2025 r.) oraz przy piśmie z dnia 3 listopada 2025 r.  </w:t>
      </w:r>
    </w:p>
    <w:p w14:paraId="7749BA38" w14:textId="77777777" w:rsidR="008C517A" w:rsidRDefault="0007116F">
      <w:pPr>
        <w:ind w:firstLine="720"/>
        <w:jc w:val="both"/>
        <w:rPr>
          <w:szCs w:val="20"/>
        </w:rPr>
      </w:pPr>
      <w:r>
        <w:rPr>
          <w:szCs w:val="20"/>
          <w:shd w:val="clear" w:color="auto" w:fill="FFFFFF"/>
        </w:rPr>
        <w:t>Po weryfikacji wniosku stwierdzon</w:t>
      </w:r>
      <w:r>
        <w:rPr>
          <w:szCs w:val="20"/>
          <w:shd w:val="clear" w:color="auto" w:fill="FFFFFF"/>
        </w:rPr>
        <w:t>o, że spełnia wymogi dotyczące kompletności wniosku określone w art. 7 ust. 7 specustawy.  We wniosku określono granice terenu objętego wnioskiem, przedstawiając je na kopii mapy zasadniczej. Określono planowaną minimalną i maksymalną powierzchnię użytkową</w:t>
      </w:r>
      <w:r>
        <w:rPr>
          <w:szCs w:val="20"/>
          <w:shd w:val="clear" w:color="auto" w:fill="FFFFFF"/>
        </w:rPr>
        <w:t xml:space="preserve"> mieszkań wynoszącą od 22 500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25 500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oraz planowaną minimalną i maksymalną liczbę mieszkań wynoszącą od 290</w:t>
      </w:r>
      <w:r>
        <w:rPr>
          <w:szCs w:val="20"/>
          <w:shd w:val="clear" w:color="auto" w:fill="FFFFFF"/>
          <w:lang w:val="pt-PT" w:eastAsia="pt-PT" w:bidi="pt-PT"/>
        </w:rPr>
        <w:t xml:space="preserve"> do </w:t>
      </w:r>
      <w:r>
        <w:rPr>
          <w:szCs w:val="20"/>
          <w:shd w:val="clear" w:color="auto" w:fill="FFFFFF"/>
        </w:rPr>
        <w:t>400. Wniosek obejmuje analizę powiązania inwestycji mieszkaniowej i towarzyszącej z uzbrojeniem terenu, oraz ich charakterystykę. Wniosk</w:t>
      </w:r>
      <w:r>
        <w:rPr>
          <w:szCs w:val="20"/>
          <w:shd w:val="clear" w:color="auto" w:fill="FFFFFF"/>
        </w:rPr>
        <w:t>odawca wskazał nieruchomości, według katastru nieruchomości oraz ksiąg wieczystych, na których mają być zlokalizowane obiekty objęte inwestycją mieszkaniową i inwestycja towarzyszącą. Wskazano również, w jakim zakresie planowane inwestycje nie uwzględniają</w:t>
      </w:r>
      <w:r>
        <w:rPr>
          <w:szCs w:val="20"/>
          <w:shd w:val="clear" w:color="auto" w:fill="FFFFFF"/>
        </w:rPr>
        <w:t xml:space="preserve"> ustaleń miejscowego planu zagospodarowania przestrzennego i że nie są sprzeczne ze studium uwarunkowań i kierunków zagospodarowania przestrzennego miasta Łodzi. </w:t>
      </w:r>
      <w:r>
        <w:rPr>
          <w:szCs w:val="20"/>
          <w:shd w:val="clear" w:color="auto" w:fill="FFFFFF"/>
          <w:lang w:val="de-DE" w:eastAsia="de-DE" w:bidi="de-DE"/>
        </w:rPr>
        <w:t>W</w:t>
      </w:r>
      <w:proofErr w:type="spellStart"/>
      <w:r>
        <w:rPr>
          <w:szCs w:val="20"/>
          <w:shd w:val="clear" w:color="auto" w:fill="FFFFFF"/>
        </w:rPr>
        <w:t>ykazano</w:t>
      </w:r>
      <w:proofErr w:type="spellEnd"/>
      <w:r>
        <w:rPr>
          <w:szCs w:val="20"/>
          <w:shd w:val="clear" w:color="auto" w:fill="FFFFFF"/>
        </w:rPr>
        <w:t>, że inwestycja mieszkaniowa i inwestycja towarzysząca odpowiada standardom, o których</w:t>
      </w:r>
      <w:r>
        <w:rPr>
          <w:szCs w:val="20"/>
          <w:shd w:val="clear" w:color="auto" w:fill="FFFFFF"/>
        </w:rPr>
        <w:t xml:space="preserve"> mowa w rozdziale 3 specustawy oraz lokalnym standardom urbanistycznym.</w:t>
      </w:r>
      <w:r>
        <w:rPr>
          <w:color w:val="7030A0"/>
          <w:szCs w:val="20"/>
          <w:shd w:val="clear" w:color="auto" w:fill="FFFFFF"/>
        </w:rPr>
        <w:t xml:space="preserve"> </w:t>
      </w:r>
      <w:r>
        <w:rPr>
          <w:szCs w:val="20"/>
          <w:shd w:val="clear" w:color="auto" w:fill="FFFFFF"/>
        </w:rPr>
        <w:t>Do wniosku załączono koncepcję urbanistyczno-architektoniczną, sporządzoną przez osobę wpisaną na listę izby samorządu zawodowego architektów posiadającą uprawnienia budowlane do proje</w:t>
      </w:r>
      <w:r>
        <w:rPr>
          <w:szCs w:val="20"/>
          <w:shd w:val="clear" w:color="auto" w:fill="FFFFFF"/>
        </w:rPr>
        <w:t>ktowania bez ograniczeń w specjalności architektonicznej oraz inne wymagane oświadczenia i zaświadczenia.</w:t>
      </w:r>
    </w:p>
    <w:p w14:paraId="6279DDAB" w14:textId="77777777" w:rsidR="008C517A" w:rsidRDefault="0007116F">
      <w:pPr>
        <w:spacing w:before="120" w:after="120"/>
        <w:jc w:val="both"/>
        <w:rPr>
          <w:szCs w:val="20"/>
        </w:rPr>
      </w:pPr>
      <w:r>
        <w:rPr>
          <w:szCs w:val="20"/>
          <w:shd w:val="clear" w:color="auto" w:fill="FFFFFF"/>
        </w:rPr>
        <w:tab/>
        <w:t>W dniu 7 listopada 2025 r. wniosek został udostępniony na stronie podmiotowej Biuletynu Informacji Publicznej wraz z informacją o formie, miejscu i t</w:t>
      </w:r>
      <w:r>
        <w:rPr>
          <w:szCs w:val="20"/>
          <w:shd w:val="clear" w:color="auto" w:fill="FFFFFF"/>
        </w:rPr>
        <w:t xml:space="preserve">erminie składania uwag. Ponadto, w dniu 21 listopada 2025 r. w lokalnej prasie „Łódź.pl” pojawiła się informacja o wpływie przedmiotowego wniosku wraz z informacją o formie, miejscu </w:t>
      </w:r>
      <w:r>
        <w:rPr>
          <w:szCs w:val="20"/>
          <w:shd w:val="clear" w:color="auto" w:fill="FFFFFF"/>
        </w:rPr>
        <w:lastRenderedPageBreak/>
        <w:t xml:space="preserve">i terminie składania uwag. Po publikacji w Biuletynie do Biura Architekta </w:t>
      </w:r>
      <w:r>
        <w:rPr>
          <w:szCs w:val="20"/>
          <w:shd w:val="clear" w:color="auto" w:fill="FFFFFF"/>
        </w:rPr>
        <w:t>Miasta nie trafiły żadne wnioski ani uwagi przeciwko planowanej inwestycji.</w:t>
      </w:r>
    </w:p>
    <w:p w14:paraId="7839D58A" w14:textId="77777777" w:rsidR="008C517A" w:rsidRDefault="0007116F">
      <w:pPr>
        <w:keepLines/>
        <w:spacing w:before="120" w:after="120"/>
        <w:ind w:firstLine="720"/>
        <w:jc w:val="both"/>
        <w:rPr>
          <w:szCs w:val="20"/>
        </w:rPr>
      </w:pPr>
      <w:r>
        <w:rPr>
          <w:szCs w:val="20"/>
        </w:rPr>
        <w:t>Pismami z dnia 7 listopada 2025 r. powiadomiono organy opiniują</w:t>
      </w:r>
      <w:proofErr w:type="spellStart"/>
      <w:r>
        <w:rPr>
          <w:szCs w:val="20"/>
          <w:lang w:val="en-US" w:eastAsia="en-US" w:bidi="en-US"/>
        </w:rPr>
        <w:t>ce</w:t>
      </w:r>
      <w:proofErr w:type="spellEnd"/>
      <w:r>
        <w:rPr>
          <w:szCs w:val="20"/>
          <w:lang w:val="en-US" w:eastAsia="en-US" w:bidi="en-US"/>
        </w:rPr>
        <w:t xml:space="preserve">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 xml:space="preserve"> uzgadniające, o których mowa w art. 7 ust. 12 i 14 specustawy, o możliwości przedstawienia stanowiska w sprawie </w:t>
      </w:r>
      <w:r>
        <w:rPr>
          <w:szCs w:val="20"/>
        </w:rPr>
        <w:t>w ciągu 21 dni od daty doręczenia wystąpienia. Pismem z dnia 26 listopada 2025 r sprostowano omyłkę pisarską dotyczącą nazwy inwestycji mieszkaniowej, która wystąpiła w powyższych pismach powiadamiających o możliwości przedstawienia opinii  i wyrażenia sta</w:t>
      </w:r>
      <w:r>
        <w:rPr>
          <w:szCs w:val="20"/>
        </w:rPr>
        <w:t>nowiska w sprawie. Lin</w:t>
      </w:r>
    </w:p>
    <w:p w14:paraId="5DC208F7" w14:textId="77777777" w:rsidR="008C517A" w:rsidRDefault="0007116F">
      <w:pPr>
        <w:spacing w:before="120" w:after="120"/>
        <w:ind w:firstLine="340"/>
        <w:jc w:val="both"/>
        <w:rPr>
          <w:szCs w:val="20"/>
        </w:rPr>
      </w:pPr>
      <w:r>
        <w:rPr>
          <w:szCs w:val="20"/>
        </w:rPr>
        <w:t>Następujące organy opiniujące udzieliły odpowiedzi:</w:t>
      </w:r>
    </w:p>
    <w:p w14:paraId="77DED30E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Szef Centralnego Wojskowego Centrum Rekrutacji, Szef Ośrodka Zamiejscowego w Łodzi - pisma z dnia 18 listopada 2025 r.  znak: CWCR_OZ_Łódź-WWiZ.0732.930.2025  i 2 grudnia 2025 r. </w:t>
      </w:r>
      <w:r>
        <w:rPr>
          <w:szCs w:val="20"/>
        </w:rPr>
        <w:t>CWCR_OZ_Łódź-WWiZ.0732.498.2025 informujące o braku uwag i zastrzeżeń do przedmiotowej lokalizacji;</w:t>
      </w:r>
    </w:p>
    <w:p w14:paraId="3A53AC6F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Zarządu Województwa Łódzkiego, pisma z dnia 26 listopada 2025 r. i z dnia 1 grudnia 2025 r.- znak BPRWŁ.ZP.405.12.2025  informujące o pozytywnej </w:t>
      </w:r>
      <w:r>
        <w:rPr>
          <w:szCs w:val="20"/>
        </w:rPr>
        <w:t>opinii dla inwestycji;</w:t>
      </w:r>
    </w:p>
    <w:p w14:paraId="370AEAFA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Łódzki Państwowy Wojewódzki Inspektor Sanitarny w Łodzi – pozytywna opinia z dnia 27 listopada 2025 r., znak: </w:t>
      </w:r>
      <w:r>
        <w:rPr>
          <w:szCs w:val="20"/>
          <w:lang w:val="de-DE" w:eastAsia="de-DE" w:bidi="de-DE"/>
        </w:rPr>
        <w:t>NS</w:t>
      </w:r>
      <w:r>
        <w:rPr>
          <w:szCs w:val="20"/>
        </w:rPr>
        <w:t xml:space="preserve"> </w:t>
      </w:r>
      <w:r>
        <w:rPr>
          <w:szCs w:val="20"/>
          <w:lang w:val="de-DE" w:eastAsia="de-DE" w:bidi="de-DE"/>
        </w:rPr>
        <w:t>OZNS.9022.</w:t>
      </w:r>
      <w:r>
        <w:rPr>
          <w:szCs w:val="20"/>
        </w:rPr>
        <w:t>793</w:t>
      </w:r>
      <w:r>
        <w:rPr>
          <w:szCs w:val="20"/>
          <w:lang w:val="de-DE" w:eastAsia="de-DE" w:bidi="de-DE"/>
        </w:rPr>
        <w:t>.202</w:t>
      </w:r>
      <w:r>
        <w:rPr>
          <w:szCs w:val="20"/>
        </w:rPr>
        <w:t>5</w:t>
      </w:r>
      <w:r>
        <w:rPr>
          <w:szCs w:val="20"/>
          <w:lang w:val="de-DE" w:eastAsia="de-DE" w:bidi="de-DE"/>
        </w:rPr>
        <w:t>.</w:t>
      </w:r>
      <w:r>
        <w:rPr>
          <w:szCs w:val="20"/>
        </w:rPr>
        <w:t>AC;</w:t>
      </w:r>
    </w:p>
    <w:p w14:paraId="38E54BB1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Miejska Komisja Urbanistyczno-Architektoniczna wydała pozytywną opinię wyrażoną </w:t>
      </w:r>
      <w:r>
        <w:rPr>
          <w:szCs w:val="20"/>
        </w:rPr>
        <w:t>w uchwale nr 60/XXII/2025 z dnia 20 listopada 2025 r.;</w:t>
      </w:r>
    </w:p>
    <w:p w14:paraId="4F959B18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Wyżej wymienione opinie zostały wysłane do Wnioskodawcy.</w:t>
      </w:r>
    </w:p>
    <w:p w14:paraId="396BC0BC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W ustawowym terminie nie wpłynęły ponadto opinie, właściwe według specustawy dla terenu inwestycji:</w:t>
      </w:r>
    </w:p>
    <w:p w14:paraId="75CDBE0A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Prezydenta Miasta Łodzi, w którego imieniu</w:t>
      </w:r>
      <w:r>
        <w:rPr>
          <w:szCs w:val="20"/>
        </w:rPr>
        <w:t xml:space="preserve"> działa Zastępca Dyrektora Łódzkiego Ośrodka Geodezji:</w:t>
      </w:r>
    </w:p>
    <w:p w14:paraId="71008C5A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- Łódzkiego Wojewódzkiego Komendanta Wojewódzkiej Państwowej Straży Pożarnej w Łodzi; </w:t>
      </w:r>
    </w:p>
    <w:p w14:paraId="3D154950" w14:textId="77777777" w:rsidR="008C517A" w:rsidRDefault="0007116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Agencji Bezpieczeństwa Wewnętrznego / Dyrektora Delegatury w Katowicach;</w:t>
      </w:r>
    </w:p>
    <w:p w14:paraId="74AA5C33" w14:textId="77777777" w:rsidR="008C517A" w:rsidRDefault="0007116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Komendanta Wojewódzkiego Policji w Ło</w:t>
      </w:r>
      <w:r>
        <w:rPr>
          <w:szCs w:val="20"/>
        </w:rPr>
        <w:t>dzi;</w:t>
      </w:r>
    </w:p>
    <w:p w14:paraId="469FFE13" w14:textId="77777777" w:rsidR="008C517A" w:rsidRDefault="0007116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Komendanta Nadwiślańskiego Oddział</w:t>
      </w:r>
      <w:r>
        <w:rPr>
          <w:szCs w:val="20"/>
          <w:lang w:val="de-DE" w:eastAsia="de-DE" w:bidi="de-DE"/>
        </w:rPr>
        <w:t xml:space="preserve">u </w:t>
      </w:r>
      <w:proofErr w:type="spellStart"/>
      <w:r>
        <w:rPr>
          <w:szCs w:val="20"/>
          <w:lang w:val="de-DE" w:eastAsia="de-DE" w:bidi="de-DE"/>
        </w:rPr>
        <w:t>Stra</w:t>
      </w:r>
      <w:r>
        <w:rPr>
          <w:szCs w:val="20"/>
        </w:rPr>
        <w:t>ży</w:t>
      </w:r>
      <w:proofErr w:type="spellEnd"/>
      <w:r>
        <w:rPr>
          <w:szCs w:val="20"/>
        </w:rPr>
        <w:t xml:space="preserve"> Granicznej im. Powstania Warszawskiego;</w:t>
      </w:r>
    </w:p>
    <w:p w14:paraId="02E2E7F6" w14:textId="77777777" w:rsidR="008C517A" w:rsidRDefault="0007116F">
      <w:pPr>
        <w:tabs>
          <w:tab w:val="left" w:pos="855"/>
        </w:tabs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- Prezesa Urzędu Lotnictwa Cywilnego,</w:t>
      </w:r>
    </w:p>
    <w:p w14:paraId="55E97FAA" w14:textId="77777777" w:rsidR="008C517A" w:rsidRDefault="0007116F">
      <w:pPr>
        <w:spacing w:before="120" w:after="120"/>
        <w:jc w:val="both"/>
        <w:rPr>
          <w:szCs w:val="20"/>
        </w:rPr>
      </w:pPr>
      <w:r>
        <w:rPr>
          <w:szCs w:val="20"/>
        </w:rPr>
        <w:t>co do których zgodnie z art. 7 ust. 13 specustawy nieprzekazanie opinii w terminie 21 dni od dnia otrzymania powiadomienia uznaj</w:t>
      </w:r>
      <w:r>
        <w:rPr>
          <w:szCs w:val="20"/>
        </w:rPr>
        <w:t>e się za brak zastrzeżeń.</w:t>
      </w:r>
    </w:p>
    <w:p w14:paraId="79D3788B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Organy uzgadniające:</w:t>
      </w:r>
    </w:p>
    <w:p w14:paraId="40C470E5" w14:textId="77777777" w:rsidR="008C517A" w:rsidRDefault="0007116F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 xml:space="preserve">- Łódzki Wojewódzki Konserwator Zabytków postanowieniem z dnia 2 grudnia 2025 r., znak WUOZ-PP.5151.3825.2025.KP uzgodnił przedmiotowy wniosek w zakresie zgodności z zapisami ustawy z dnia  23 lipca 2003 r. o </w:t>
      </w:r>
      <w:r>
        <w:rPr>
          <w:szCs w:val="20"/>
        </w:rPr>
        <w:t>ochronie zabytków i opiece nad zabytkami (Dz. U. z 2024 r. poz. 1292 i 1907).</w:t>
      </w:r>
    </w:p>
    <w:p w14:paraId="4B2BD988" w14:textId="77777777" w:rsidR="008C517A" w:rsidRDefault="0007116F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 xml:space="preserve">- Zarząd </w:t>
      </w:r>
      <w:proofErr w:type="spellStart"/>
      <w:r>
        <w:rPr>
          <w:szCs w:val="20"/>
        </w:rPr>
        <w:t>Dró</w:t>
      </w:r>
      <w:proofErr w:type="spellEnd"/>
      <w:r>
        <w:rPr>
          <w:szCs w:val="20"/>
          <w:lang w:val="en-US" w:eastAsia="en-US" w:bidi="en-US"/>
        </w:rPr>
        <w:t xml:space="preserve">g </w:t>
      </w:r>
      <w:proofErr w:type="spellStart"/>
      <w:r>
        <w:rPr>
          <w:szCs w:val="20"/>
          <w:lang w:val="en-US" w:eastAsia="en-US" w:bidi="en-US"/>
        </w:rPr>
        <w:t>i</w:t>
      </w:r>
      <w:proofErr w:type="spellEnd"/>
      <w:r>
        <w:rPr>
          <w:szCs w:val="20"/>
        </w:rPr>
        <w:t> </w:t>
      </w:r>
      <w:r>
        <w:rPr>
          <w:szCs w:val="20"/>
          <w:lang w:val="pt-PT" w:eastAsia="pt-PT" w:bidi="pt-PT"/>
        </w:rPr>
        <w:t>Transportu</w:t>
      </w:r>
      <w:r>
        <w:rPr>
          <w:szCs w:val="20"/>
        </w:rPr>
        <w:t xml:space="preserve"> postanowieniem z dnia 3 grudnia 2025 r. znak pisma ZDiT-UU.40121.2.259.2025 uzgodnił przedmiotowy wniosek w zakresie w jakim projektowana inwestycja pr</w:t>
      </w:r>
      <w:r>
        <w:rPr>
          <w:szCs w:val="20"/>
        </w:rPr>
        <w:t xml:space="preserve">zebiega przez nieruchomości wchodzące w skład pasa drogowego, przylega do nieruchomości wchodzących w skład pasa drogowego lub powoduje ograniczenia w sposobie </w:t>
      </w:r>
      <w:r>
        <w:rPr>
          <w:szCs w:val="20"/>
        </w:rPr>
        <w:lastRenderedPageBreak/>
        <w:t>zagospodarowania pasa drogowego i zaakceptował zaproponowaną obsługę komunikacyjną poprzez proje</w:t>
      </w:r>
      <w:r>
        <w:rPr>
          <w:szCs w:val="20"/>
        </w:rPr>
        <w:t xml:space="preserve">ktowany zjazd z pasa drogowego ul. Wólczańskiej oraz przez projektowany zjazd z projektowanej drogi publicznej oznaczonej w Miejscowym Planie Zagospodarowania Przestrzennego symbolem 12KDD 1/2 (zwanego dalej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>).</w:t>
      </w:r>
    </w:p>
    <w:p w14:paraId="6C45162A" w14:textId="77777777" w:rsidR="008C517A" w:rsidRDefault="0007116F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>Wydane w sprawie postanowienia zostały pr</w:t>
      </w:r>
      <w:r>
        <w:rPr>
          <w:szCs w:val="20"/>
        </w:rPr>
        <w:t>zekazane do wnioskodawcy.</w:t>
      </w:r>
    </w:p>
    <w:p w14:paraId="31702858" w14:textId="77777777" w:rsidR="008C517A" w:rsidRDefault="0007116F">
      <w:pPr>
        <w:spacing w:before="120" w:after="120"/>
        <w:ind w:firstLine="570"/>
        <w:jc w:val="both"/>
        <w:rPr>
          <w:szCs w:val="20"/>
        </w:rPr>
      </w:pPr>
      <w:r>
        <w:rPr>
          <w:szCs w:val="20"/>
        </w:rPr>
        <w:t xml:space="preserve">Do projektu uchwały, zgodnie z art. 7 ust. 17 specustawy dołączone zostały uzyskane opinie i uzgodnienia, a także prognoza oddziaływania na środowisko i opracowanie </w:t>
      </w:r>
      <w:proofErr w:type="spellStart"/>
      <w:r>
        <w:rPr>
          <w:szCs w:val="20"/>
        </w:rPr>
        <w:t>ekofizjogrficzne</w:t>
      </w:r>
      <w:proofErr w:type="spellEnd"/>
      <w:r>
        <w:rPr>
          <w:szCs w:val="20"/>
        </w:rPr>
        <w:t xml:space="preserve"> sporządzone dla potrzeb obowiązującego miejscowe</w:t>
      </w:r>
      <w:r>
        <w:rPr>
          <w:szCs w:val="20"/>
        </w:rPr>
        <w:t xml:space="preserve">go planu zagospodarowania przestrzennego. </w:t>
      </w:r>
    </w:p>
    <w:p w14:paraId="36C87EC7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Planowany sposób zagospodarowania terenu obejmuje budowę dwóch budynków mieszkalnych wielorodzinnych z częściami usługowymi i handlowymi oraz z garażami wielostanowiskowymi na kondygnacjach podziemnych, usytuowany</w:t>
      </w:r>
      <w:r>
        <w:rPr>
          <w:szCs w:val="20"/>
        </w:rPr>
        <w:t xml:space="preserve">ch w pierzejach ulic Piotrkowskiej przy pl. Niepodległości i ulicy Wólczańskiej wraz z projektowaną drogą dojazdową oznaczoną symbolem 12KDD1/2 w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>. Zjazdy z projektowanej drogi na ulicę Wólczańską i    ulicę Piotra Skargi zapewniające obsługę komunikac</w:t>
      </w:r>
      <w:r>
        <w:rPr>
          <w:szCs w:val="20"/>
        </w:rPr>
        <w:t xml:space="preserve">yjną dla danej inwestycji mieszkaniowej będą realizowane na podstawie odrębnego opracowania, </w:t>
      </w:r>
      <w:r>
        <w:rPr>
          <w:color w:val="F00000"/>
          <w:szCs w:val="20"/>
        </w:rPr>
        <w:t>według zawartego porozumienia między Inwestorem. a Miastem Łódź.</w:t>
      </w:r>
      <w:r>
        <w:rPr>
          <w:szCs w:val="20"/>
        </w:rPr>
        <w:t xml:space="preserve"> Planowane zagospodarowanie obejmuje także w ramach inwestycji towarzyszącej budowę placu i ciągu p</w:t>
      </w:r>
      <w:r>
        <w:rPr>
          <w:szCs w:val="20"/>
        </w:rPr>
        <w:t xml:space="preserve">ieszego oznaczonych symbolem 2KP oraz terenu zieleni z miejscem rekreacji i placem zabaw na części terenu oznaczonego symbolem 4ZP zgodnie z rysunkiem obowiązującego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>. Zaprojektowano także nowe i zaplanowano do przebudowy następujące sieci: ciepłownicz</w:t>
      </w:r>
      <w:r>
        <w:rPr>
          <w:szCs w:val="20"/>
        </w:rPr>
        <w:t>ą, energetyczną i kanalizacji kablowej, wodociągową, kanalizacji sanitarnej i deszczowej. Projektowana zabudowa mieszkaniowa usytuowana będzie na terenie obecnie niezagospodarowanym o powierzchni około 19 780 m</w:t>
      </w:r>
      <w:r>
        <w:rPr>
          <w:szCs w:val="20"/>
          <w:vertAlign w:val="superscript"/>
        </w:rPr>
        <w:t>2</w:t>
      </w:r>
      <w:r>
        <w:rPr>
          <w:szCs w:val="20"/>
        </w:rPr>
        <w:t>. Wnioskowana powierzchnia zabudowy nie przek</w:t>
      </w:r>
      <w:r>
        <w:rPr>
          <w:szCs w:val="20"/>
        </w:rPr>
        <w:t>roczy 8 280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(budynek nr 1 - 4 739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i budynek nr 2 - 3 541 m</w:t>
      </w:r>
      <w:r>
        <w:rPr>
          <w:szCs w:val="20"/>
          <w:vertAlign w:val="superscript"/>
        </w:rPr>
        <w:t>2</w:t>
      </w:r>
      <w:r>
        <w:rPr>
          <w:szCs w:val="20"/>
        </w:rPr>
        <w:t>).</w:t>
      </w:r>
      <w:r>
        <w:rPr>
          <w:szCs w:val="20"/>
          <w:vertAlign w:val="superscript"/>
        </w:rPr>
        <w:t xml:space="preserve"> </w:t>
      </w:r>
      <w:r>
        <w:rPr>
          <w:szCs w:val="20"/>
        </w:rPr>
        <w:t>Zgodnie z koncepcją architektoniczną oba budynki będą miały wysokość do 25 metrów i 7 kondygnacji naziemnych oraz do 3 kondygnacji podziemnych. Projekt przewiduje od 290 do 400 mieszkań o </w:t>
      </w:r>
      <w:r>
        <w:rPr>
          <w:szCs w:val="20"/>
        </w:rPr>
        <w:t>łącznej powierzchni użytkowej mieszkań od 22 500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do 25 500 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>a także powierzchnią przeznaczoną na działalność usługową i handlową od 1 650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do 3 000 m</w:t>
      </w:r>
      <w:r>
        <w:rPr>
          <w:szCs w:val="20"/>
          <w:vertAlign w:val="superscript"/>
        </w:rPr>
        <w:t>2</w:t>
      </w:r>
      <w:r>
        <w:rPr>
          <w:szCs w:val="20"/>
        </w:rPr>
        <w:t>. Projektowana powierzchnia  biologicznie czynna określona została na minimum 4 101 m</w:t>
      </w:r>
      <w:r>
        <w:rPr>
          <w:szCs w:val="20"/>
          <w:vertAlign w:val="superscript"/>
        </w:rPr>
        <w:t>2</w:t>
      </w:r>
      <w:r>
        <w:rPr>
          <w:szCs w:val="20"/>
        </w:rPr>
        <w:t>,</w:t>
      </w:r>
      <w:r>
        <w:rPr>
          <w:szCs w:val="20"/>
          <w:vertAlign w:val="superscript"/>
        </w:rPr>
        <w:t xml:space="preserve"> </w:t>
      </w:r>
      <w:r>
        <w:rPr>
          <w:szCs w:val="20"/>
        </w:rPr>
        <w:t xml:space="preserve">co stanowi </w:t>
      </w:r>
      <w:r>
        <w:rPr>
          <w:szCs w:val="20"/>
        </w:rPr>
        <w:t xml:space="preserve">wskaźnik minimum 21,5% powierzchni terenu.  </w:t>
      </w:r>
    </w:p>
    <w:p w14:paraId="44B464B8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 xml:space="preserve">Wnioskodawca złożył oświadczenie, w którym mowa w art. 7 ust. 8 pkt 2 specustawy, że nie zachodzi kolizja lokalizacji inwestycji mieszkaniowej z inwestycjami, o których mowa w art. 4 pkt 1-13 specustawy i które </w:t>
      </w:r>
      <w:r>
        <w:rPr>
          <w:szCs w:val="20"/>
        </w:rPr>
        <w:t xml:space="preserve">mają ustawowe pierwszeństwo przed inwestycjami mieszkaniowymi. </w:t>
      </w:r>
    </w:p>
    <w:p w14:paraId="5788CB2C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szCs w:val="20"/>
        </w:rPr>
        <w:t xml:space="preserve">Dla terenu wnioskowanej inwestycji obowiązują ustalenia miejscowego planu zagospodarowania przestrzennego (zwanego dalej Planem lub </w:t>
      </w:r>
      <w:proofErr w:type="spellStart"/>
      <w:r>
        <w:rPr>
          <w:szCs w:val="20"/>
        </w:rPr>
        <w:t>mpzp</w:t>
      </w:r>
      <w:proofErr w:type="spellEnd"/>
      <w:r>
        <w:rPr>
          <w:szCs w:val="20"/>
        </w:rPr>
        <w:t xml:space="preserve">) </w:t>
      </w:r>
      <w:r>
        <w:rPr>
          <w:color w:val="000000"/>
          <w:szCs w:val="20"/>
          <w:shd w:val="clear" w:color="auto" w:fill="FFFFFF"/>
        </w:rPr>
        <w:t>objętego uchwałą Nr LXXXVIII/1823/14  Rady Miejskiej w</w:t>
      </w:r>
      <w:r>
        <w:rPr>
          <w:color w:val="000000"/>
          <w:szCs w:val="20"/>
          <w:shd w:val="clear" w:color="auto" w:fill="FFFFFF"/>
        </w:rPr>
        <w:t xml:space="preserve"> Łodzi z dnia 4 czerwca 2014 r., w sprawie uchwalenia miejscowego planu zagospodarowania przestrzennego dla części obszaru miasta Łodzi położonej w rejonie ulic: Stanisława Przybyszewskiego, Kruczej, </w:t>
      </w:r>
      <w:proofErr w:type="spellStart"/>
      <w:r>
        <w:rPr>
          <w:color w:val="000000"/>
          <w:szCs w:val="20"/>
          <w:shd w:val="clear" w:color="auto" w:fill="FFFFFF"/>
        </w:rPr>
        <w:t>Zarzewskiej</w:t>
      </w:r>
      <w:proofErr w:type="spellEnd"/>
      <w:r>
        <w:rPr>
          <w:color w:val="000000"/>
          <w:szCs w:val="20"/>
          <w:shd w:val="clear" w:color="auto" w:fill="FFFFFF"/>
        </w:rPr>
        <w:t>, Łomżyńskiej, gen. Jarosława Dąbrowskiego, R</w:t>
      </w:r>
      <w:r>
        <w:rPr>
          <w:color w:val="000000"/>
          <w:szCs w:val="20"/>
          <w:shd w:val="clear" w:color="auto" w:fill="FFFFFF"/>
        </w:rPr>
        <w:t xml:space="preserve">zgowskiej, Bednarskiej Wólczańskiej, Sieradzkiej i Piotrkowskiej oraz Placu Reymonta (Dz. Urz. Woj. Łódzkiego poz. 2598).  Z porównania charakterystycznych parametrów projektowanej inwestycji z ustaleniami </w:t>
      </w:r>
      <w:proofErr w:type="spellStart"/>
      <w:r>
        <w:rPr>
          <w:color w:val="000000"/>
          <w:szCs w:val="20"/>
          <w:shd w:val="clear" w:color="auto" w:fill="FFFFFF"/>
        </w:rPr>
        <w:t>mpzp</w:t>
      </w:r>
      <w:proofErr w:type="spellEnd"/>
      <w:r>
        <w:rPr>
          <w:color w:val="000000"/>
          <w:szCs w:val="20"/>
          <w:shd w:val="clear" w:color="auto" w:fill="FFFFFF"/>
        </w:rPr>
        <w:t xml:space="preserve"> wynikają następujące zgodności oraz niezgodno</w:t>
      </w:r>
      <w:r>
        <w:rPr>
          <w:color w:val="000000"/>
          <w:szCs w:val="20"/>
          <w:shd w:val="clear" w:color="auto" w:fill="FFFFFF"/>
        </w:rPr>
        <w:t>ści inwestycji z wymogami Planu w zależności od typu terenu (6U, 7U, 13MWU, 4ZP, 1KP, 2KP, 12KDD1/2), w zakresie przedstawionym poniżej:</w:t>
      </w:r>
    </w:p>
    <w:p w14:paraId="35E73924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F00000"/>
          <w:szCs w:val="20"/>
        </w:rPr>
      </w:pPr>
      <w:r>
        <w:rPr>
          <w:szCs w:val="20"/>
          <w:shd w:val="clear" w:color="auto" w:fill="FFFFFF"/>
        </w:rPr>
        <w:t>1) przeznaczenie terenu:</w:t>
      </w:r>
    </w:p>
    <w:p w14:paraId="0287F1F9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lastRenderedPageBreak/>
        <w:t xml:space="preserve">a) w Planie </w:t>
      </w:r>
    </w:p>
    <w:p w14:paraId="345A9368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- dla terenów oznaczonych jako 6U i 7U - zabudowa usługowa, dla terenu 13MWU - </w:t>
      </w:r>
      <w:r>
        <w:rPr>
          <w:szCs w:val="20"/>
          <w:shd w:val="clear" w:color="auto" w:fill="FFFFFF"/>
        </w:rPr>
        <w:t>zabudowa mieszkaniowa wielorodzinna i usługowa,</w:t>
      </w:r>
    </w:p>
    <w:p w14:paraId="11D5CE3C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- tereny 4ZP - tereny zieleni urządzonej, </w:t>
      </w:r>
    </w:p>
    <w:p w14:paraId="525588EC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tereny 1KP, 2KP - tereny publicznych ciągów pieszych; dopuszcza: lokalizację infrastruktury technicznej, lokalizację zieleni;</w:t>
      </w:r>
    </w:p>
    <w:p w14:paraId="36729742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tereny 12KDD1/2 – tereny ulic dojaz</w:t>
      </w:r>
      <w:r>
        <w:rPr>
          <w:szCs w:val="20"/>
          <w:shd w:val="clear" w:color="auto" w:fill="FFFFFF"/>
        </w:rPr>
        <w:t>dowych</w:t>
      </w:r>
    </w:p>
    <w:p w14:paraId="65218A6D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b) w koncepcji </w:t>
      </w:r>
    </w:p>
    <w:p w14:paraId="52C8746D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dla terenów oznaczonych jako 6U, 7U i 13MWU - budynki mieszkalne wielorodzinne z usługami;</w:t>
      </w:r>
    </w:p>
    <w:p w14:paraId="6F276AF6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tereny 1KP, 2KP - projektowany plac połączony ciągiem pieszym z ulicą Piotrkowską,</w:t>
      </w:r>
    </w:p>
    <w:p w14:paraId="563F58C0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- 4ZP zaprojektowano zieleniec oraz przestrzeń rekreacy</w:t>
      </w:r>
      <w:r>
        <w:rPr>
          <w:szCs w:val="20"/>
          <w:shd w:val="clear" w:color="auto" w:fill="FFFFFF"/>
        </w:rPr>
        <w:t>jną i plac zabaw;</w:t>
      </w:r>
    </w:p>
    <w:p w14:paraId="573CA17A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tereny 12KDD1/2 – droga dojazdowa obsługująca kwartały 6U i 7U;</w:t>
      </w:r>
    </w:p>
    <w:p w14:paraId="4C0BBC75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2) rodzaj zabudowy:</w:t>
      </w:r>
    </w:p>
    <w:p w14:paraId="7949A6FF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a) w Planie – 6U, 7U i 13MWU - zwarta zabudowa śródmiejska, </w:t>
      </w:r>
    </w:p>
    <w:p w14:paraId="19988451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b) w koncepcji – na terenie zaprojektowano budynek mieszkalny wielorodzinny z usługami;</w:t>
      </w:r>
    </w:p>
    <w:p w14:paraId="0B18DEB0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3) </w:t>
      </w:r>
      <w:r>
        <w:rPr>
          <w:szCs w:val="20"/>
          <w:shd w:val="clear" w:color="auto" w:fill="FFFFFF"/>
        </w:rPr>
        <w:t>powierzchnia zabudowy:</w:t>
      </w:r>
    </w:p>
    <w:p w14:paraId="5423AF72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a) w Planie - do 80 % </w:t>
      </w:r>
    </w:p>
    <w:p w14:paraId="780E9A60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b) w koncepcji – od 41,86  do 100%;</w:t>
      </w:r>
    </w:p>
    <w:p w14:paraId="63455FA4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4) wskaźnik intensywności zabudowy:</w:t>
      </w:r>
    </w:p>
    <w:p w14:paraId="7772FFB3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a) w Planie – 6U i 7U nie większy niż  3,0; 13MWU nie większy niż 2,5;</w:t>
      </w:r>
    </w:p>
    <w:p w14:paraId="11C8702A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b) w koncepcji – 6U do 4,46, 7U do 5,90, 13MWU do 5,5</w:t>
      </w:r>
    </w:p>
    <w:p w14:paraId="5183B1BB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5) powierzchn</w:t>
      </w:r>
      <w:r>
        <w:rPr>
          <w:szCs w:val="20"/>
          <w:shd w:val="clear" w:color="auto" w:fill="FFFFFF"/>
        </w:rPr>
        <w:t>ia biologicznie czynna:</w:t>
      </w:r>
    </w:p>
    <w:p w14:paraId="44462ECC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a) w Planie –min. 10%,</w:t>
      </w:r>
    </w:p>
    <w:p w14:paraId="537E161C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b) w koncepcji: określona na 21,50% ;</w:t>
      </w:r>
    </w:p>
    <w:p w14:paraId="27230D62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6) wysokość zabudowy:</w:t>
      </w:r>
    </w:p>
    <w:p w14:paraId="06C540F2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a) w Planie –od 11m do 19,0 m;</w:t>
      </w:r>
    </w:p>
    <w:p w14:paraId="58593D4F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b) w koncepcji – 7 kondygnacji i  do 25 m;</w:t>
      </w:r>
    </w:p>
    <w:p w14:paraId="7291DEC8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7) kształt dachu: </w:t>
      </w:r>
    </w:p>
    <w:p w14:paraId="611C8BC0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a) w Planie – dachy płaskie lub dwuspadowe o symetrycznym układzie i równym kącie nachylenia do 20 stopni; </w:t>
      </w:r>
    </w:p>
    <w:p w14:paraId="1F2A3093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b) w koncepcji – dach płaski o nachyleniu maks. 5%; </w:t>
      </w:r>
    </w:p>
    <w:p w14:paraId="3096397E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8) polityka parkingowa:</w:t>
      </w:r>
    </w:p>
    <w:p w14:paraId="0E285232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 xml:space="preserve">a) w Planie </w:t>
      </w:r>
    </w:p>
    <w:p w14:paraId="3BE5FD37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dla budynków mieszkalnych wielorodzinnych – 1,2 stanowis</w:t>
      </w:r>
      <w:r>
        <w:rPr>
          <w:szCs w:val="20"/>
          <w:shd w:val="clear" w:color="auto" w:fill="FFFFFF"/>
        </w:rPr>
        <w:t xml:space="preserve">ka postojowego lub garażu na 1 lokal mieszkalny; </w:t>
      </w:r>
    </w:p>
    <w:p w14:paraId="012FF18A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lastRenderedPageBreak/>
        <w:t>- dla klientów obiektów usługowych: - handlowych, biurowych i administracyjnych – 1 stanowisko postojowe na 40 m2 ogólnodostępnej powierzchni użytkowej, lecz nie mniej niż 2 stanowiska postojowe na obiekt l</w:t>
      </w:r>
      <w:r>
        <w:rPr>
          <w:szCs w:val="20"/>
          <w:shd w:val="clear" w:color="auto" w:fill="FFFFFF"/>
        </w:rPr>
        <w:t xml:space="preserve">ub lokal, - gastronomicznych – 1 stanowisko postojowe na 8 miejsc konsumpcyjnych, lecz nie mniej niż 2 stanowiska postojowe na obiekt lub lokal, </w:t>
      </w:r>
    </w:p>
    <w:p w14:paraId="2751E458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- dla pracowników usług: 1 stanowisko postojowe na 3 zatrudnionych na zmianie, niezależnie od miejsc postojowy</w:t>
      </w:r>
      <w:r>
        <w:rPr>
          <w:szCs w:val="20"/>
          <w:shd w:val="clear" w:color="auto" w:fill="FFFFFF"/>
        </w:rPr>
        <w:t xml:space="preserve">ch przewidzianych dla klientów; </w:t>
      </w:r>
    </w:p>
    <w:p w14:paraId="0BB1DA11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  <w:shd w:val="clear" w:color="auto" w:fill="FFFFFF"/>
        </w:rPr>
        <w:t>b) w koncepcji – 1,5 miejsca postojowego na lokal mieszkalny, 1,5 miejsca parkingowego na każde 100 m</w:t>
      </w:r>
      <w:r>
        <w:rPr>
          <w:szCs w:val="20"/>
          <w:shd w:val="clear" w:color="auto" w:fill="FFFFFF"/>
          <w:vertAlign w:val="superscript"/>
        </w:rPr>
        <w:t>2</w:t>
      </w:r>
      <w:r>
        <w:rPr>
          <w:szCs w:val="20"/>
          <w:shd w:val="clear" w:color="auto" w:fill="FFFFFF"/>
        </w:rPr>
        <w:t xml:space="preserve"> powierzchni użytkowej przeznaczonej na działalność handlowa lub usługową.</w:t>
      </w:r>
    </w:p>
    <w:p w14:paraId="410771D7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ind w:firstLine="435"/>
        <w:jc w:val="both"/>
        <w:rPr>
          <w:color w:val="F00000"/>
          <w:szCs w:val="20"/>
        </w:rPr>
      </w:pPr>
      <w:r>
        <w:rPr>
          <w:szCs w:val="20"/>
        </w:rPr>
        <w:t xml:space="preserve">Zgodnie z art. 5 ust. 3 specustawy inwestycje </w:t>
      </w:r>
      <w:r>
        <w:rPr>
          <w:szCs w:val="20"/>
        </w:rPr>
        <w:t>mieszkaniowe lub inwestycje towarzyszące realizuje się niezależnie od istnienia lub ustaleń miejscowego planu zagospodarowania przestrzennego pod warunkiem, że nie są sprzeczne ze Studium uwarunkowań kierunków zagospodarowania przestrzennego miasta oraz uc</w:t>
      </w:r>
      <w:r>
        <w:rPr>
          <w:szCs w:val="20"/>
        </w:rPr>
        <w:t>hwałą o utworzeniu parku kulturowego. Z ustaleń Studium uwarunkowań i kierunków zagospodarowania przestrzennego miasta Łodzi, przyjętego uchwałą Nr LXIX/1753/18 Rady Miejskiej w Łodzi z dnia 28 marca 2018 r., zmienioną uchwałami Rady Miejskiej w Łodzi Nr </w:t>
      </w:r>
      <w:r>
        <w:rPr>
          <w:szCs w:val="20"/>
        </w:rPr>
        <w:t xml:space="preserve">VI/215/19 z dnia 6 marca 2019 r. i Nr LII/1605/21 z dnia 22 grudnia 2021 r., zwanego dalej Studium, wynika, że lokalizacja wnioskowanej inwestycji mieszkaniowej znajduje się w jednostce WZ2 - strefa </w:t>
      </w:r>
      <w:proofErr w:type="spellStart"/>
      <w:r>
        <w:rPr>
          <w:szCs w:val="20"/>
        </w:rPr>
        <w:t>ogólnomiejska</w:t>
      </w:r>
      <w:proofErr w:type="spellEnd"/>
      <w:r>
        <w:rPr>
          <w:szCs w:val="20"/>
        </w:rPr>
        <w:t>, tereny zabudowy wielofunkcyjnej z dopuszcz</w:t>
      </w:r>
      <w:r>
        <w:rPr>
          <w:szCs w:val="20"/>
        </w:rPr>
        <w:t>eniem zabudowy usługowej, mieszkaniowej wielorodzinnej i jednorodzinnej. Planowany sposób zagospodarowania inwestycji mieszkaniowej wpisuje się w ustalone dla terenu WZ2 kierunki zmian w ramach struktury przestrzennej podnosząc jakość życia i zamieszkania,</w:t>
      </w:r>
      <w:r>
        <w:rPr>
          <w:szCs w:val="20"/>
        </w:rPr>
        <w:t xml:space="preserve"> aktywizując obszary objęte inwestycją i kształtując nową atrakcyjną strukturę miejską w zakresie funkcji i wizerunku, kształtując czytelną, zwartą strukturę przestrzenną i dopełniając układy urbanistyczne uzupełniając pierzeje obu ulic, zachowując otwarci</w:t>
      </w:r>
      <w:r>
        <w:rPr>
          <w:szCs w:val="20"/>
        </w:rPr>
        <w:t>a i  zamknięcia urbanistyczne, kształtując narożniki zabudowy. Planowana zabudowa wprowadza możliwość mieszanego sposobu użytkowania w ramach wspólnych zespołów zabudowy i zapewnia dostęp komunikacyjny do transportu zbiorowego oraz wprowadza nowe przestrze</w:t>
      </w:r>
      <w:r>
        <w:rPr>
          <w:szCs w:val="20"/>
        </w:rPr>
        <w:t xml:space="preserve">nie publiczne włączając je do systemu </w:t>
      </w:r>
      <w:proofErr w:type="spellStart"/>
      <w:r>
        <w:rPr>
          <w:szCs w:val="20"/>
        </w:rPr>
        <w:t>ogólnomiejskiego</w:t>
      </w:r>
      <w:proofErr w:type="spellEnd"/>
      <w:r>
        <w:rPr>
          <w:szCs w:val="20"/>
        </w:rPr>
        <w:t>. Lokalizacja inwestycji jest również zgodna z wymogiem dotyczącym kształtowania zieleni i zapewnienia minimalnej dla terenów zabudowy mieszkaniowej odległości w linii prostej 50 m od parku im. Legionów</w:t>
      </w:r>
      <w:r>
        <w:rPr>
          <w:szCs w:val="20"/>
        </w:rPr>
        <w:t xml:space="preserve"> o powierzchni nie mniejszej niż 5,4 ha. Zgodnie z planowanym sposobem zagospodarowania terenu inwestycji spełniony zostanie wskaźnik powierzchni biologicznie czynnej tj. minimum 10%. W Studium wskazano maksymalną intensywność zabudowy 2,0, liczoną dla cał</w:t>
      </w:r>
      <w:r>
        <w:rPr>
          <w:szCs w:val="20"/>
        </w:rPr>
        <w:t>ego terenu WZ2. Inwestor wskazuje we wniosku, że planowana intensywność zabudowy wyniesie 0,88 dla terenu inwestycji.</w:t>
      </w:r>
      <w:r>
        <w:rPr>
          <w:szCs w:val="20"/>
        </w:rPr>
        <w:tab/>
      </w:r>
    </w:p>
    <w:p w14:paraId="55A71504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 w:after="120"/>
        <w:jc w:val="both"/>
        <w:rPr>
          <w:szCs w:val="20"/>
        </w:rPr>
      </w:pPr>
      <w:r>
        <w:rPr>
          <w:szCs w:val="20"/>
        </w:rPr>
        <w:t xml:space="preserve">W Studium określono maksymalną wysokość zabudowy w nawiązaniu do zabudowy historycznej nie wyżej niż 21 m, natomiast w pierzejach placów </w:t>
      </w:r>
      <w:r>
        <w:rPr>
          <w:szCs w:val="20"/>
        </w:rPr>
        <w:t>i ulic i w narożnikach zabudowy przy skrzyżowaniu ulic nie wyżej niż 25 m, i tyle przewiduje koncepcja architektoniczna.</w:t>
      </w:r>
      <w:r>
        <w:rPr>
          <w:color w:val="F00000"/>
          <w:szCs w:val="20"/>
        </w:rPr>
        <w:t xml:space="preserve"> </w:t>
      </w:r>
      <w:r>
        <w:rPr>
          <w:szCs w:val="20"/>
        </w:rPr>
        <w:t>Wniosek także spełnia wymagania Studium w założeniach polityki parkingowej zakładającej zapotrzebowanie na miejsca parkingowe dla nowej</w:t>
      </w:r>
      <w:r>
        <w:rPr>
          <w:szCs w:val="20"/>
        </w:rPr>
        <w:t xml:space="preserve"> zabudowy wynoszące 1 miejsce parkingowe na 1 mieszkanie oraz 15 miejsc na 1000m</w:t>
      </w:r>
      <w:r>
        <w:rPr>
          <w:szCs w:val="20"/>
          <w:vertAlign w:val="superscript"/>
        </w:rPr>
        <w:t xml:space="preserve">2 </w:t>
      </w:r>
      <w:r>
        <w:rPr>
          <w:szCs w:val="20"/>
        </w:rPr>
        <w:t xml:space="preserve"> powierzchni użytkowej usług. Zarówno przeznaczenie projektowanego budynku, wysokość budynku, intensywność zabudowy, jak i zagospodarowanie terenu inwestycji, nie są sprzeczn</w:t>
      </w:r>
      <w:r>
        <w:rPr>
          <w:szCs w:val="20"/>
        </w:rPr>
        <w:t>e ze Studium, a inwestycja została zlokalizowana poza obszarem parku kulturowego.</w:t>
      </w:r>
      <w:r>
        <w:rPr>
          <w:color w:val="F00000"/>
          <w:szCs w:val="20"/>
        </w:rPr>
        <w:t xml:space="preserve"> </w:t>
      </w:r>
    </w:p>
    <w:p w14:paraId="05DE1CC3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Wniosek inwestorów spełnia standardy lokalizacji i realizacji inwestycji mieszkaniowych określonych w rozdziale 3 specustawy w następujący sposób:</w:t>
      </w:r>
    </w:p>
    <w:p w14:paraId="3502244E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1) zgodnie z art. 17 </w:t>
      </w:r>
      <w:r>
        <w:rPr>
          <w:szCs w:val="20"/>
        </w:rPr>
        <w:t>ust 1 specustawy:</w:t>
      </w:r>
    </w:p>
    <w:p w14:paraId="2E379868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lastRenderedPageBreak/>
        <w:t xml:space="preserve">a) inwestycja posiada dostęp do dróg publicznych – ul. Wólczańskiej, ul. Piotrkowskiej i ul. Ks. Piotra Skargi, i będzie posiadać zjazdy na ul. Wólczańską i Ks. Piotra Skargi z projektowanej nowej drogi publicznej 12KDD 1/2. Istniejące i </w:t>
      </w:r>
      <w:r>
        <w:rPr>
          <w:szCs w:val="20"/>
        </w:rPr>
        <w:t>projektowana drogi dojazdowe na terenie inwestycji, będą pełnić również funkcje dróg pożarowych o szerokości większej bądź równej 6,0 m.</w:t>
      </w:r>
    </w:p>
    <w:p w14:paraId="25DE9FFB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inwestycja ma zapewniony dostęp do sieci wodociągowej i kanalizacyjnej - zgodnie z pismami z Zakładu Wodociągów i Ka</w:t>
      </w:r>
      <w:r>
        <w:rPr>
          <w:szCs w:val="20"/>
        </w:rPr>
        <w:t>nalizacji Sp. z o.o. znak: nr IT.424.1178.2025.MP3, z dnia 13.05.2025. r., nr IT.423.225.2025.AK6, z dnia 26.06.2025. r., nr IT.424.1755.2025.MP3, z dnia 10. 07. 2025. r.</w:t>
      </w:r>
    </w:p>
    <w:p w14:paraId="68AC1D9F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c) inwestycja ma zapewniony dostęp do sieci </w:t>
      </w:r>
      <w:proofErr w:type="spellStart"/>
      <w:r>
        <w:rPr>
          <w:szCs w:val="20"/>
        </w:rPr>
        <w:t>elektoenergetycznej</w:t>
      </w:r>
      <w:proofErr w:type="spellEnd"/>
      <w:r>
        <w:rPr>
          <w:szCs w:val="20"/>
        </w:rPr>
        <w:t xml:space="preserve"> – zgodnie z oświadcze</w:t>
      </w:r>
      <w:r>
        <w:rPr>
          <w:szCs w:val="20"/>
        </w:rPr>
        <w:t>niem o zapewnieniu dostaw energii elektrycznej nr 25-D7/WZD/00257/ PGED0430755KW25, z dnia 15.04.2025. r wystawionym przez PGE Dystrybucja S. A w Łodzi;</w:t>
      </w:r>
    </w:p>
    <w:p w14:paraId="2DF95ADE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2) zgodnie z art. 17 ust. 2 w związku z art 19 specustawy i uchwałą Nr LXXVI/2076/18 Rady Miejskiej w Ł</w:t>
      </w:r>
      <w:r>
        <w:rPr>
          <w:szCs w:val="20"/>
        </w:rPr>
        <w:t>odzi z dnia 10 października 2018 r. w sprawie lokalnych standardów urbanistycznych dla Miasta Łodzi (Dz. Urz. Woj. Łódzkiego poz. 5644), zmienioną uchwałami Rady Miejskiej w Łodzi: Nr III/59/18 z dnia 27 grudnia 2018 r. (Dz. Urz. Woj. Łódzkiego z 2019 r. p</w:t>
      </w:r>
      <w:r>
        <w:rPr>
          <w:szCs w:val="20"/>
        </w:rPr>
        <w:t>oz. 348), Nr XXXIII/1093/20 z dnia 2 grudnia 2020 r. (Dz. Urz. Woj. Łódzkiego poz. 7200), Nr LX/1810/22 z dnia 1 czerwca 2022 r. (Dz. Urz. Woj. Łódzkiego poz. 3675),  Nr LXXIII/2191/23 z dnia 15 marca 2023 r. (Dz. Urz. Woj. Łódzkiego poz. 4066) i Nr LXXXVI</w:t>
      </w:r>
      <w:r>
        <w:rPr>
          <w:szCs w:val="20"/>
        </w:rPr>
        <w:t xml:space="preserve">/2608/24 z dnia 17 stycznia 2024 r. (Dz. Urz. Woj. Łódzkiego poz. 1102), zwanych lokalnymi standardami urbanistycznymi: </w:t>
      </w:r>
    </w:p>
    <w:p w14:paraId="521FC506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 inwestycję mieszkaniową lokalizuje się w odległości dojścia nie większej niż 500 m od istniejącego przystanku publicznego transport</w:t>
      </w:r>
      <w:r>
        <w:rPr>
          <w:szCs w:val="20"/>
        </w:rPr>
        <w:t>u  zbiorowego:</w:t>
      </w:r>
    </w:p>
    <w:p w14:paraId="27D650DF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–  dla budynku nr 1 (przy ul. Piotrkowskiej 319) w rejonie Placu Niepodległości – dojście ok 80 m; </w:t>
      </w:r>
    </w:p>
    <w:p w14:paraId="63E93EBF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–  dla budynku nr 2 (przy ul. Wólczańskiej 256) w rejonie ulicy Wólczańskiej – dojście ok 20 m</w:t>
      </w:r>
    </w:p>
    <w:p w14:paraId="06190706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b)  inwestycję mieszkaniową </w:t>
      </w:r>
      <w:r>
        <w:rPr>
          <w:szCs w:val="20"/>
        </w:rPr>
        <w:t>lokalizuje się w odległości nie większej niż 1000 m od szkoły podstawowej, która jest w stanie przyjąć nowych uczniów w liczbie dzieci stanowiącej nie mniej niż 7% planowanych mieszkańców inwestycji mieszkaniowej -szacowana liczba uczniów około 60 może zos</w:t>
      </w:r>
      <w:r>
        <w:rPr>
          <w:szCs w:val="20"/>
        </w:rPr>
        <w:t>tać przyjęta do następujących placówek:</w:t>
      </w:r>
    </w:p>
    <w:p w14:paraId="092F184C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- Szkoła Podstawowa nr 10, im. Władysława Broniewskiego, w Łodzi, przy ul. Przybyszewskiego 15/21 (dojście ok. 592,00 m) oraz </w:t>
      </w:r>
    </w:p>
    <w:p w14:paraId="6EC3C80A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- Szkoła Podstawowa nr 113, im. Adolfa Dygasińskiego, w Łodzi, przy ul. Unickiej 6 (dojśc</w:t>
      </w:r>
      <w:r>
        <w:rPr>
          <w:szCs w:val="20"/>
        </w:rPr>
        <w:t>ie ok. 888,00 m),</w:t>
      </w:r>
    </w:p>
    <w:p w14:paraId="67DE1CD2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3) zgodnie z art. 17 ust. 3 specustawy  spełnienie wymogu określonego w ustawie art 17 ust. 2 pkt 2 potwierdził Prezydent Miasta Łodzi zaświadczeniem nr DEP-ED-I.0124.14.2025 z 02.06.2025 r. ;</w:t>
      </w:r>
    </w:p>
    <w:p w14:paraId="4F04816D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color w:val="000000"/>
          <w:szCs w:val="20"/>
        </w:rPr>
      </w:pPr>
      <w:r>
        <w:rPr>
          <w:szCs w:val="20"/>
        </w:rPr>
        <w:t xml:space="preserve">4) zgodnie z art. 17 ust. 4 w związku z art. </w:t>
      </w:r>
      <w:r>
        <w:rPr>
          <w:szCs w:val="20"/>
        </w:rPr>
        <w:t>19 specustawy i lokalnymi standardami urbanistycznymi inwestycja zlokalizowana jest w odległości ok. 50 m  i 431 m od Park im. Legionów o powierzchni 5,4 ha, czyli mniejszej niż 1000 m wskazanych  w uchwale i o powierzchni większej niż stanowi iloczyn plan</w:t>
      </w:r>
      <w:r>
        <w:rPr>
          <w:szCs w:val="20"/>
        </w:rPr>
        <w:t xml:space="preserve">owanej liczby mieszkańców – </w:t>
      </w:r>
      <w:r>
        <w:rPr>
          <w:color w:val="000000"/>
          <w:szCs w:val="20"/>
        </w:rPr>
        <w:t>850 oraz wskaźnika wynoszącego 4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=3400 m</w:t>
      </w:r>
      <w:r>
        <w:rPr>
          <w:color w:val="000000"/>
          <w:szCs w:val="20"/>
          <w:vertAlign w:val="superscript"/>
        </w:rPr>
        <w:t>2</w:t>
      </w:r>
      <w:r>
        <w:rPr>
          <w:color w:val="000000"/>
          <w:szCs w:val="20"/>
        </w:rPr>
        <w:t xml:space="preserve"> ;</w:t>
      </w:r>
    </w:p>
    <w:p w14:paraId="7AE603F7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lastRenderedPageBreak/>
        <w:t xml:space="preserve">5) zgodnie z art. 17 ust. 4a w związku z art.17 </w:t>
      </w:r>
      <w:proofErr w:type="spellStart"/>
      <w:r>
        <w:rPr>
          <w:szCs w:val="20"/>
        </w:rPr>
        <w:t>us</w:t>
      </w:r>
      <w:proofErr w:type="spellEnd"/>
      <w:r>
        <w:rPr>
          <w:szCs w:val="20"/>
        </w:rPr>
        <w:t xml:space="preserve"> 4b pkt 2 specustawy - zapewnienie minimalnego udziału ogólnodostępnego, nieogrodzonego, urządzonego terenu wypoczynku oraz rekreac</w:t>
      </w:r>
      <w:r>
        <w:rPr>
          <w:szCs w:val="20"/>
        </w:rPr>
        <w:t>ji lub sportu w ramach powierzchni biologicznie czynnej – nie dotyczy; teren inwestycji położony jest w obszarze zabudowy śródmiejskiej;</w:t>
      </w:r>
    </w:p>
    <w:p w14:paraId="653324F9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6) zgodnie z art.17 ust 4d pkt 1 specustawy minimalny udział powierzchni biologicznie czynnej w obszarze zabudowy śródm</w:t>
      </w:r>
      <w:r>
        <w:rPr>
          <w:szCs w:val="20"/>
        </w:rPr>
        <w:t>iejskiej wyniesie nie mniej niż 12,5% powierzchni terenu inwestycji (wg wniosku i projektu uchwały minimum 21,5%);</w:t>
      </w:r>
    </w:p>
    <w:p w14:paraId="761E433D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 xml:space="preserve">7) zgodnie z art.17 ust 4d pkt 2 specustawy minimalna liczba miejsc postojowych będzie równa co najmniej liczbie mieszkań  przewidzianych do </w:t>
      </w:r>
      <w:r>
        <w:rPr>
          <w:szCs w:val="20"/>
        </w:rPr>
        <w:t xml:space="preserve">realizacji w ramach inwestycji mieszkaniowej; </w:t>
      </w:r>
    </w:p>
    <w:p w14:paraId="020672C0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8) zgodnie z art. 17 ust. 6 w związku z art. 19 specustawy i lokalnymi standardami urbanistycznymi projektowany budynek będzie miał nie więcej niż VII kondygnacji naziemnych;</w:t>
      </w:r>
    </w:p>
    <w:p w14:paraId="4C6CDF54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9) zgodnie z art. 19 ust. 3 specus</w:t>
      </w:r>
      <w:r>
        <w:rPr>
          <w:szCs w:val="20"/>
        </w:rPr>
        <w:t>tawy i lokalnymi standardami urbanistycznymi:</w:t>
      </w:r>
    </w:p>
    <w:p w14:paraId="07C08079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a) inwestycja ma zapewniony dostęp do sieci ciepłowniczej zgodnie z informacją o technicznej możliwości podłączenia do Ciepła Systemowego planowanej inwestycji nr VECP/HRSR/MKO/2025, z dnia 05. 05. 2025. r. wyd</w:t>
      </w:r>
      <w:r>
        <w:rPr>
          <w:szCs w:val="20"/>
        </w:rPr>
        <w:t xml:space="preserve">ana przez </w:t>
      </w:r>
      <w:proofErr w:type="spellStart"/>
      <w:r>
        <w:rPr>
          <w:szCs w:val="20"/>
        </w:rPr>
        <w:t>Veolia</w:t>
      </w:r>
      <w:proofErr w:type="spellEnd"/>
      <w:r>
        <w:rPr>
          <w:szCs w:val="20"/>
        </w:rPr>
        <w:t xml:space="preserve"> Energia Łódź S.A.,</w:t>
      </w:r>
    </w:p>
    <w:p w14:paraId="7F0D5C19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b) zapewniono niezbędna minimalną liczbę miejsc parkingowych dla obsługi inwestycji mieszkaniowej, równą minimalnemu wskaźnikowi 1,5 miejsca parkingowego na lokal mieszkalny określony dla Obszaru Współczesnego Rozwoju St</w:t>
      </w:r>
      <w:r>
        <w:rPr>
          <w:szCs w:val="20"/>
        </w:rPr>
        <w:t>refy Wielkomiejskiej;</w:t>
      </w:r>
    </w:p>
    <w:p w14:paraId="3E93297D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c) zapewniono niezbędną minimalną liczbę miejsc parkingowych dla obsługi handlu i usług w ramach inwestycji mieszkaniowej nie mniejszą niż minimalny wskaźnik  1,5 miejsca parkingowego na 100 m</w:t>
      </w:r>
      <w:r>
        <w:rPr>
          <w:szCs w:val="20"/>
          <w:vertAlign w:val="superscript"/>
        </w:rPr>
        <w:t>2</w:t>
      </w:r>
      <w:r>
        <w:rPr>
          <w:szCs w:val="20"/>
        </w:rPr>
        <w:t xml:space="preserve">  powierzchni użytkowej przeznaczonej na </w:t>
      </w:r>
      <w:r>
        <w:rPr>
          <w:szCs w:val="20"/>
        </w:rPr>
        <w:t>działalność handlową i usługową, określony dla Obszaru Współczesnego Rozwoju Strefy Wielkomiejskiej.</w:t>
      </w:r>
    </w:p>
    <w:p w14:paraId="2EAB645F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Łącznie przewidziano do 500 do 645 miejsc parkingowych.</w:t>
      </w:r>
    </w:p>
    <w:p w14:paraId="003660B0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Projektowana inwestycja mieszkaniowa i inwestycje towarzyszące nie zostały zlokalizowane na terenac</w:t>
      </w:r>
      <w:r>
        <w:rPr>
          <w:szCs w:val="20"/>
        </w:rPr>
        <w:t>h podlegających ochronie przed lokalizowaniem lub zabudową na podstawie odrębnych przepisów, a także w granicach otulin form ochrony przyrody, rodzinnych ogrodów działkowych czy obszaru szczególnego zagrożenia powodzią, zgodnie z art. 5 ust. 1 i 2 specust</w:t>
      </w:r>
      <w:r>
        <w:rPr>
          <w:szCs w:val="20"/>
        </w:rPr>
        <w:t xml:space="preserve">awy. </w:t>
      </w:r>
    </w:p>
    <w:p w14:paraId="4128010D" w14:textId="77777777" w:rsidR="008C517A" w:rsidRDefault="0007116F">
      <w:pPr>
        <w:spacing w:before="120" w:after="120"/>
        <w:ind w:firstLine="510"/>
        <w:jc w:val="both"/>
        <w:rPr>
          <w:szCs w:val="20"/>
        </w:rPr>
      </w:pPr>
      <w:r>
        <w:rPr>
          <w:szCs w:val="20"/>
        </w:rPr>
        <w:t>Przy podejmowaniu niniejszej uchwały Rada Miejska w Łodzi brała pod uwagę stan zaspokojenia potrzeb mieszkaniowych na terenie gminy oraz potrzeby i możliwości rozwoju gminy wynikające z ustaleń Studium uwarunkowań i kierunków zagospodarowania przestr</w:t>
      </w:r>
      <w:r>
        <w:rPr>
          <w:szCs w:val="20"/>
        </w:rPr>
        <w:t xml:space="preserve">zennego miasta Łodzi i sporządzonego na jego podstawie obowiązującego miejscowego planu zagospodarowania przestrzennego. </w:t>
      </w:r>
    </w:p>
    <w:p w14:paraId="36BD23A5" w14:textId="77777777" w:rsidR="008C517A" w:rsidRDefault="0007116F">
      <w:pPr>
        <w:spacing w:before="240" w:after="240"/>
        <w:ind w:firstLine="435"/>
        <w:jc w:val="both"/>
        <w:rPr>
          <w:szCs w:val="20"/>
        </w:rPr>
      </w:pPr>
      <w:r>
        <w:rPr>
          <w:szCs w:val="20"/>
        </w:rPr>
        <w:t>Obszar zlokalizowany w bezpośrednim sąsiedztwie planowanej inwestycji charakteryzuje się znacznym stopniem degradacji tkanki urbanisty</w:t>
      </w:r>
      <w:r>
        <w:rPr>
          <w:szCs w:val="20"/>
        </w:rPr>
        <w:t>cznej, wynikającym zarówno ze zużycia technicznego istniejącej zabudowy, jak i z niedostatecznego zagospodarowania przestrzeni publicznych. Teren ten, mimo położenia w strefie o istotnym znaczeniu handlowo-usługowym, nie posiada obecnie wystarczających imp</w:t>
      </w:r>
      <w:r>
        <w:rPr>
          <w:szCs w:val="20"/>
        </w:rPr>
        <w:t>ulsów rozwojowych, które przyczyniłyby się do zwiększenia jego atrakcyjności funkcjonalnej oraz poprawy jakości środowiska miejskiego. Wprowadzenie zabudowy mieszkaniowej na analizowanym obszarze stanowiłoby istotny element ożywienia przestrzeni, przyczyni</w:t>
      </w:r>
      <w:r>
        <w:rPr>
          <w:szCs w:val="20"/>
        </w:rPr>
        <w:t xml:space="preserve">ając się do jej rewitalizacji oraz podniesienia standardu zagospodarowania. Funkcja mieszkaniowa, jako komplementarna </w:t>
      </w:r>
      <w:r>
        <w:rPr>
          <w:szCs w:val="20"/>
        </w:rPr>
        <w:lastRenderedPageBreak/>
        <w:t>względem działalności handlowo-usługowej prowadzonej na terenie pobliskiego rynku, umożliwiłaby zapewnienie ciągłości użytkowania przestrz</w:t>
      </w:r>
      <w:r>
        <w:rPr>
          <w:szCs w:val="20"/>
        </w:rPr>
        <w:t>eni także poza godzinami jego funkcjonowania. Obecnie obszar ten, zdominowany przez działalność handlową, ulega znacznemu wyludnieniu w godzinach popołudniowych i wieczornych, co sprzyja postępującej degradacji i obniżeniu poziomu bezpieczeństwa. Zlokalizo</w:t>
      </w:r>
      <w:r>
        <w:rPr>
          <w:szCs w:val="20"/>
        </w:rPr>
        <w:t>wanie zabudowy mieszkaniowej w tym rejonie stwarzałoby warunki do rozwoju tzw. „życia miejskiego” w rytmie całodobowym, co z kolei pozytywnie wpłynęłoby na aktywizację przestrzeni publicznych, poprawę ładu przestrzennego oraz zwiększenie nadzoru społeczneg</w:t>
      </w:r>
      <w:r>
        <w:rPr>
          <w:szCs w:val="20"/>
        </w:rPr>
        <w:t>o. Obecność mieszkańców w sposób naturalny generuje ruch pieszy, sprzyja rozwojowi usług drobnych, w tym gastronomii i usług codziennych, a także zwiększa poziom integracji społecznej i troski o otoczenie. Należy podkreślić, że przywrócenie funkcji mieszka</w:t>
      </w:r>
      <w:r>
        <w:rPr>
          <w:szCs w:val="20"/>
        </w:rPr>
        <w:t>niowej w zdegradowanym obszarze centralnym jest rozwiązaniem zgodnym z zasadami zrównoważonego rozwoju urbanistycznego, sprzyjającym intensyfikacji zabudowy oraz efektywnemu wykorzystaniu istniejącej infrastruktury technicznej i społecznej. Wpływa to równi</w:t>
      </w:r>
      <w:r>
        <w:rPr>
          <w:szCs w:val="20"/>
        </w:rPr>
        <w:t>eż na ograniczenie rozlewania się zabudowy na obrzeża miasta poprzez wzmocnienie funkcji śródmiejskich. W świetle powyższego funkcja mieszkaniowa, wprowadzona w otoczeniu rynku Górniak, stanowiłaby istotny czynnik aktywizujący i porządkujący zdegradowaną t</w:t>
      </w:r>
      <w:r>
        <w:rPr>
          <w:szCs w:val="20"/>
        </w:rPr>
        <w:t>kankę urbanistyczną, a jej realizacja przyczyniłaby się do trwałej poprawy jakości przestrzeni oraz efektywnego zagospodarowania tego obszaru.</w:t>
      </w:r>
    </w:p>
    <w:p w14:paraId="110D4397" w14:textId="77777777" w:rsidR="008C517A" w:rsidRDefault="0007116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  <w:r>
        <w:rPr>
          <w:szCs w:val="20"/>
        </w:rPr>
        <w:t>Z uwagi na uzyskane pozytywne stanowiska organów i instytucji opiniujących i uzgadniających wniosek, oraz brak uw</w:t>
      </w:r>
      <w:r>
        <w:rPr>
          <w:szCs w:val="20"/>
        </w:rPr>
        <w:t>ag do wniosku publikowanego na stronie podmiotowej Biuletynu Informacji Publicznej Urzędu Miasta Łodzi, uznaje się za zasadne podjęcie uchwały o ustaleniu lokalizacji inwestycji mieszkaniowej i inwestycji towarzyszących zgodnie z parametrami i warunkami ok</w:t>
      </w:r>
      <w:r>
        <w:rPr>
          <w:szCs w:val="20"/>
        </w:rPr>
        <w:t xml:space="preserve">reślonymi wnioskiem. </w:t>
      </w:r>
    </w:p>
    <w:p w14:paraId="44E6B8BE" w14:textId="77777777" w:rsidR="008C517A" w:rsidRDefault="008C5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624A3666" w14:textId="77777777" w:rsidR="008C517A" w:rsidRDefault="008C5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5415DE0A" w14:textId="77777777" w:rsidR="008C517A" w:rsidRDefault="008C5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65F4108E" w14:textId="77777777" w:rsidR="008C517A" w:rsidRDefault="008C5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5F2BF924" w14:textId="77777777" w:rsidR="008C517A" w:rsidRDefault="008C51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120"/>
        <w:ind w:firstLine="435"/>
        <w:jc w:val="both"/>
        <w:rPr>
          <w:szCs w:val="20"/>
        </w:rPr>
      </w:pPr>
    </w:p>
    <w:p w14:paraId="3501C6F3" w14:textId="77777777" w:rsidR="008C517A" w:rsidRDefault="008C517A">
      <w:pPr>
        <w:spacing w:before="120" w:after="120"/>
        <w:ind w:firstLine="510"/>
        <w:jc w:val="both"/>
        <w:rPr>
          <w:szCs w:val="20"/>
          <w:u w:color="000000"/>
        </w:rPr>
      </w:pPr>
    </w:p>
    <w:sectPr w:rsidR="008C517A">
      <w:footerReference w:type="default" r:id="rId25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42252" w14:textId="77777777" w:rsidR="0007116F" w:rsidRDefault="0007116F">
      <w:r>
        <w:separator/>
      </w:r>
    </w:p>
  </w:endnote>
  <w:endnote w:type="continuationSeparator" w:id="0">
    <w:p w14:paraId="2D167744" w14:textId="77777777" w:rsidR="0007116F" w:rsidRDefault="00071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8C517A" w14:paraId="0ED4CA13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57D6BD6" w14:textId="77777777" w:rsidR="008C517A" w:rsidRDefault="0007116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79EB6BA" w14:textId="77777777" w:rsidR="008C517A" w:rsidRDefault="0007116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4619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458FFD7" w14:textId="77777777" w:rsidR="008C517A" w:rsidRDefault="008C517A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8C517A" w14:paraId="21DBF7DE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51AB490" w14:textId="77777777" w:rsidR="008C517A" w:rsidRDefault="0007116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C8DAABD" w14:textId="3D9603D3" w:rsidR="008C517A" w:rsidRDefault="0007116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4619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EC0C602" w14:textId="77777777" w:rsidR="008C517A" w:rsidRDefault="008C517A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8C517A" w14:paraId="2E0C6CD0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1900D73" w14:textId="77777777" w:rsidR="008C517A" w:rsidRDefault="0007116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E60AE53" w14:textId="3F1D7AD0" w:rsidR="008C517A" w:rsidRDefault="0007116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46193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DB7318E" w14:textId="77777777" w:rsidR="008C517A" w:rsidRDefault="008C517A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192"/>
      <w:gridCol w:w="3096"/>
    </w:tblGrid>
    <w:tr w:rsidR="008C517A" w14:paraId="3CBDC64F" w14:textId="77777777">
      <w:tc>
        <w:tcPr>
          <w:tcW w:w="6048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9AC75DF" w14:textId="77777777" w:rsidR="008C517A" w:rsidRDefault="0007116F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832B7B1" w14:textId="68FD4A23" w:rsidR="008C517A" w:rsidRDefault="0007116F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F46193">
            <w:rPr>
              <w:noProof/>
              <w:sz w:val="18"/>
            </w:rPr>
            <w:t>4</w:t>
          </w:r>
          <w:r>
            <w:rPr>
              <w:sz w:val="18"/>
            </w:rPr>
            <w:fldChar w:fldCharType="end"/>
          </w:r>
        </w:p>
      </w:tc>
    </w:tr>
  </w:tbl>
  <w:p w14:paraId="576DA9B4" w14:textId="77777777" w:rsidR="008C517A" w:rsidRDefault="008C517A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77916" w14:textId="77777777" w:rsidR="0007116F" w:rsidRDefault="0007116F">
      <w:r>
        <w:separator/>
      </w:r>
    </w:p>
  </w:footnote>
  <w:footnote w:type="continuationSeparator" w:id="0">
    <w:p w14:paraId="3EA67CF3" w14:textId="77777777" w:rsidR="0007116F" w:rsidRDefault="000711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7116F"/>
    <w:rsid w:val="003A6AD8"/>
    <w:rsid w:val="008C517A"/>
    <w:rsid w:val="00A77B3E"/>
    <w:rsid w:val="00CA2A55"/>
    <w:rsid w:val="00E95BFE"/>
    <w:rsid w:val="00F46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799D57"/>
  <w15:docId w15:val="{BD7739F3-A71E-4CB7-95E8-EC4B0CFA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center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7AA440A6-4DA5-403F-B5CF-742B9F6CC80D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ZalacznikF097643C-4CF5-40EE-98C1-395B54E045AD.png" TargetMode="External"/><Relationship Id="rId7" Type="http://schemas.openxmlformats.org/officeDocument/2006/relationships/image" Target="media/image1.png"/><Relationship Id="rId12" Type="http://schemas.openxmlformats.org/officeDocument/2006/relationships/image" Target="ZalacznikDE295242-C187-4150-9D09-5CA74CBC13AF.png" TargetMode="External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Zalacznik2BF9D198-FE5A-4799-853B-7A333A62BC82.png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Zalacznik77EEC055-5453-4B15-88F1-B88888E35B0C.png" TargetMode="External"/><Relationship Id="rId10" Type="http://schemas.openxmlformats.org/officeDocument/2006/relationships/image" Target="Zalacznik4D443B9C-C382-4F9B-A248-D88C61057963.png" TargetMode="External"/><Relationship Id="rId19" Type="http://schemas.openxmlformats.org/officeDocument/2006/relationships/image" Target="ZalacznikEE8D4FB1-4187-4E84-BDD0-7BFEE7C335E5.pn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94189B83-F0B6-48E2-9D98-0439A7357718.png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5818</Words>
  <Characters>34912</Characters>
  <Application>Microsoft Office Word</Application>
  <DocSecurity>0</DocSecurity>
  <Lines>290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40649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ustalenia lokalizacji inwestycji mieszkaniowej i inwestycji towarzyszącej przy ulicach: Piotrkowskiej bez numeru, Wólczańskiej bez numeru, Księdza Piotra Skargi bez numeru i Pabianickiej bez numeru w Łodzi.</dc:subject>
  <dc:creator>agacka</dc:creator>
  <cp:lastModifiedBy>Agnieszka Gacka</cp:lastModifiedBy>
  <cp:revision>4</cp:revision>
  <dcterms:created xsi:type="dcterms:W3CDTF">2026-01-05T08:41:00Z</dcterms:created>
  <dcterms:modified xsi:type="dcterms:W3CDTF">2026-01-05T07:46:00Z</dcterms:modified>
  <cp:category>Akt prawny</cp:category>
</cp:coreProperties>
</file>