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4A7B80">
      <w:pPr>
        <w:ind w:left="6236"/>
        <w:jc w:val="left"/>
      </w:pPr>
      <w:r>
        <w:t>Druk Nr</w:t>
      </w:r>
      <w:r w:rsidR="00E42A2C">
        <w:t xml:space="preserve"> 6/2026</w:t>
      </w:r>
    </w:p>
    <w:p w:rsidR="00A77B3E" w:rsidRDefault="004A7B80">
      <w:pPr>
        <w:ind w:left="6236"/>
        <w:jc w:val="left"/>
      </w:pPr>
      <w:r>
        <w:t>Projekt z dnia</w:t>
      </w:r>
      <w:r w:rsidR="00E42A2C">
        <w:t xml:space="preserve"> 2.01.2026 r.</w:t>
      </w:r>
      <w:bookmarkStart w:id="0" w:name="_GoBack"/>
      <w:bookmarkEnd w:id="0"/>
    </w:p>
    <w:p w:rsidR="00A77B3E" w:rsidRDefault="00A77B3E">
      <w:pPr>
        <w:ind w:left="6236"/>
        <w:jc w:val="left"/>
      </w:pPr>
    </w:p>
    <w:p w:rsidR="00A77B3E" w:rsidRDefault="004A7B80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4A7B80">
      <w:pPr>
        <w:spacing w:before="240" w:after="240"/>
        <w:rPr>
          <w:b/>
          <w:caps/>
        </w:rPr>
      </w:pPr>
      <w:r>
        <w:rPr>
          <w:b/>
        </w:rPr>
        <w:t>z dnia                           r.</w:t>
      </w:r>
    </w:p>
    <w:p w:rsidR="00A77B3E" w:rsidRDefault="004A7B80">
      <w:pPr>
        <w:keepNext/>
        <w:spacing w:after="480"/>
      </w:pPr>
      <w:r>
        <w:rPr>
          <w:b/>
        </w:rPr>
        <w:t>w sprawie odmowy ustalenia lokalizacji  inwestycji mieszkaniowej i inwestycji towarzyszących przy ulicy Tylnej 7 w Łodzi.</w:t>
      </w:r>
    </w:p>
    <w:p w:rsidR="00A77B3E" w:rsidRDefault="004A7B80">
      <w:pPr>
        <w:keepLines/>
        <w:spacing w:before="120" w:after="120"/>
        <w:ind w:firstLine="567"/>
        <w:jc w:val="both"/>
      </w:pPr>
      <w:r>
        <w:t>Na podstawie art. 18 ust. 2 pkt 15 ustawy z dnia 8 marca 1990 r. o samorządzie gminnym (Dz. U. z 2025 r. poz. 1153 i 1436) oraz art. 7 ust. 4 ustawy z dnia 5 lipca 2018 r. o ułatwieniach w przygotowaniu i realizacji inwestycji mieszkaniowych oraz inwestycji towarzyszących (Dz. U. z 2025 r. poz. 1754), Rada Miejska w Łodzi</w:t>
      </w:r>
    </w:p>
    <w:p w:rsidR="00A77B3E" w:rsidRDefault="004A7B80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4A7B80">
      <w:pPr>
        <w:keepLines/>
        <w:spacing w:before="240" w:after="120"/>
        <w:ind w:firstLine="567"/>
        <w:jc w:val="both"/>
      </w:pPr>
      <w:r>
        <w:t>§ 1. Odmawia się wnioskodawcy DYNAMIX sp. z o.o. z siedzibą w Łodzi ustalenia lokalizacji inwestycji mieszkaniowej i inwestycji towarzyszących polegających na budowie zespołu budynków obejmującego trzy budynki mieszkalne wielorodzinne, w tym jeden z częścią usługową, oraz budynek usługowy wraz z zagospodarowaniem terenu nieruchomości i niezbędnymi urządzeniami budowlanymi, na  działkach lub częściach działek o nr: 97/5, 93/10, 93/12 i 93/17 w obrębie S-9 przy ulicy Tylnej 7 w Łodzi.</w:t>
      </w:r>
    </w:p>
    <w:p w:rsidR="00A77B3E" w:rsidRDefault="004A7B80">
      <w:pPr>
        <w:keepLines/>
        <w:spacing w:before="240" w:after="120"/>
        <w:ind w:firstLine="567"/>
        <w:jc w:val="both"/>
      </w:pPr>
      <w:r>
        <w:t>§ 2. Zgodnie z art. 15 ustawy z dnia 5 lipca 2018 r. o ułatwieniach w przygotowaniu              i realizacji inwestycji mieszkaniowych oraz inwestycji towarzyszących, skarga na uchwałę          w trybie art. 101 ustawy z dnia 8 marca 1990 r. o samorządzie gminnym, może być wniesiona w terminie 30 dni od dnia doręczenia tej uchwały inwestorowi.</w:t>
      </w:r>
    </w:p>
    <w:p w:rsidR="00A77B3E" w:rsidRDefault="004A7B80">
      <w:pPr>
        <w:keepLines/>
        <w:spacing w:before="240" w:after="120"/>
        <w:ind w:firstLine="567"/>
        <w:jc w:val="both"/>
      </w:pPr>
      <w:r>
        <w:t>§ 3. Wykonanie uchwały powierza się Prezydentowi Miasta Łodzi.</w:t>
      </w:r>
    </w:p>
    <w:p w:rsidR="00A77B3E" w:rsidRDefault="004A7B80">
      <w:pPr>
        <w:keepNext/>
        <w:keepLines/>
        <w:spacing w:before="240" w:after="120"/>
        <w:ind w:firstLine="567"/>
        <w:jc w:val="both"/>
      </w:pPr>
      <w:r>
        <w:t>§ 4.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642B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2B2" w:rsidRDefault="009642B2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42B2" w:rsidRDefault="004A7B80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4A7B80">
      <w:pPr>
        <w:ind w:left="283" w:firstLine="227"/>
        <w:jc w:val="both"/>
      </w:pPr>
      <w:r>
        <w:t>Projektodawcą jest</w:t>
      </w:r>
    </w:p>
    <w:p w:rsidR="00A77B3E" w:rsidRDefault="004A7B80">
      <w:pPr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850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:rsidR="009642B2" w:rsidRDefault="004A7B80">
      <w:pPr>
        <w:rPr>
          <w:color w:val="000000"/>
          <w:szCs w:val="20"/>
        </w:rPr>
      </w:pPr>
      <w:r>
        <w:rPr>
          <w:b/>
          <w:color w:val="000000"/>
          <w:szCs w:val="20"/>
        </w:rPr>
        <w:lastRenderedPageBreak/>
        <w:t>Uzasadnienie</w:t>
      </w:r>
    </w:p>
    <w:p w:rsidR="009642B2" w:rsidRDefault="004A7B80">
      <w:pPr>
        <w:keepLines/>
        <w:spacing w:before="120" w:after="120"/>
        <w:ind w:firstLine="435"/>
        <w:jc w:val="both"/>
        <w:rPr>
          <w:szCs w:val="20"/>
        </w:rPr>
      </w:pPr>
      <w:r>
        <w:rPr>
          <w:szCs w:val="20"/>
        </w:rPr>
        <w:t>Inwestor DYNAMIX Sp. z o.o. z siedzibą w Łodzi pismem z dnia 15 października 2025r. wystąpił do Rady Miejskiej w Łodzi, za pośrednictwem Prezydenta Miasta Łodzi - Biura Architekta Miasta w Departamencie Planowania i Rozwoju Gospodarczego Urzędu Miasta Łodzi, o ustalenie lokalizacji inwestycji mieszkaniowej polegającej na budowie zespołu budynków obejmujących trzy budynki mieszkalne wielorodzinne, w tym jeden z częścią usługową, oraz budynek usługowy wraz z zagospodarowaniem terenu nieruchomości i niezbędnymi urządzeniami budowlanymi, na  działkach lub ich częściach o nr: 97/5, 93/10, 93/12 i 93/17 w obrębie S-9 przy ulicy Tylnej 7 w Łodzi, na podstawie art. 7 ust. 1 i 6 ustawy z dnia 5 lipca 2018 r. o ułatwieniach w przygotowaniu i realizacji inwestycji mieszkaniowych i inwestycji towarzyszących (Dz. </w:t>
      </w:r>
      <w:r>
        <w:rPr>
          <w:szCs w:val="20"/>
          <w:shd w:val="clear" w:color="auto" w:fill="FFFFFF"/>
        </w:rPr>
        <w:t>U. z 2024 r. poz. </w:t>
      </w:r>
      <w:r>
        <w:rPr>
          <w:szCs w:val="20"/>
        </w:rPr>
        <w:t>195 oraz z 2025 r. poz. 527</w:t>
      </w:r>
      <w:r>
        <w:rPr>
          <w:szCs w:val="20"/>
          <w:shd w:val="clear" w:color="auto" w:fill="FFFFFF"/>
        </w:rPr>
        <w:t>), zwanej dalej specustawą. W związku z brakami formalnymi, wniosek został uzupełniony przy piśmie z dnia 7 listopada 2025 r.</w:t>
      </w:r>
    </w:p>
    <w:p w:rsidR="009642B2" w:rsidRDefault="004A7B80">
      <w:pPr>
        <w:keepLines/>
        <w:spacing w:before="120" w:after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W sprawie zastosowanie mają przepisy specustawy w brzmieniu obowiązującym przed 24 września 2023 r. z wyjątkiem art. 2 pkt 3, 7 i 8, art. 7 ust. 7 pkt 7a, art. 17 ust. 4a-4d zgodnie z art. 70 ust. 2 ustawy z dnia 7 lipca 2023 r. o zmianie ustawy o planowaniu i zagospodarowaniu przestrzennym oraz niektórych innych ustaw (Dz. U. poz. 1688, z 2024 r. poz. 1824 oraz z 2025 r. poz. 527) oraz art. 17 i 19 ust. 3 zmienione ustawą z dnia 25 lipca 2025 r. o zmianie ustawy o społecznych formach rozwoju mieszkalnictwa oraz niektórych innych ustaw (Dz. U. z 2025 poz. 1077).</w:t>
      </w:r>
    </w:p>
    <w:p w:rsidR="009642B2" w:rsidRDefault="004A7B80">
      <w:pPr>
        <w:spacing w:before="120" w:after="120"/>
        <w:ind w:firstLine="435"/>
        <w:jc w:val="both"/>
        <w:rPr>
          <w:szCs w:val="20"/>
        </w:rPr>
      </w:pPr>
      <w:r>
        <w:rPr>
          <w:szCs w:val="20"/>
          <w:shd w:val="clear" w:color="auto" w:fill="FFFFFF"/>
        </w:rPr>
        <w:t>Po weryfikacji wniosku stwierdzono, ż</w:t>
      </w:r>
      <w:r>
        <w:rPr>
          <w:szCs w:val="20"/>
          <w:shd w:val="clear" w:color="auto" w:fill="FFFFFF"/>
          <w:lang w:val="nl-NL" w:eastAsia="nl-NL" w:bidi="nl-NL"/>
        </w:rPr>
        <w:t>e spe</w:t>
      </w:r>
      <w:proofErr w:type="spellStart"/>
      <w:r>
        <w:rPr>
          <w:szCs w:val="20"/>
          <w:shd w:val="clear" w:color="auto" w:fill="FFFFFF"/>
        </w:rPr>
        <w:t>łnia</w:t>
      </w:r>
      <w:proofErr w:type="spellEnd"/>
      <w:r>
        <w:rPr>
          <w:szCs w:val="20"/>
          <w:shd w:val="clear" w:color="auto" w:fill="FFFFFF"/>
        </w:rPr>
        <w:t xml:space="preserve"> on wymogi dotyczące kompletności wniosku </w:t>
      </w:r>
      <w:proofErr w:type="spellStart"/>
      <w:r>
        <w:rPr>
          <w:szCs w:val="20"/>
          <w:shd w:val="clear" w:color="auto" w:fill="FFFFFF"/>
        </w:rPr>
        <w:t>okreś</w:t>
      </w:r>
      <w:proofErr w:type="spellEnd"/>
      <w:r>
        <w:rPr>
          <w:szCs w:val="20"/>
          <w:shd w:val="clear" w:color="auto" w:fill="FFFFFF"/>
          <w:lang w:val="en-US" w:eastAsia="en-US" w:bidi="en-US"/>
        </w:rPr>
        <w:t>lone w</w:t>
      </w:r>
      <w:r>
        <w:rPr>
          <w:szCs w:val="20"/>
          <w:shd w:val="clear" w:color="auto" w:fill="FFFFFF"/>
        </w:rPr>
        <w:t xml:space="preserve"> art. 7 ust. 7 specustawy. We wniosku określono granice terenu objętego wnioskiem, przedstawiając je na kopii mapy zasadniczej. Określono planowaną minimalną i maksymalną powierzchnię użytkową mieszkań wynoszącą od </w:t>
      </w:r>
      <w:r>
        <w:rPr>
          <w:szCs w:val="20"/>
        </w:rPr>
        <w:t>7500 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do 9500 m</w:t>
      </w:r>
      <w:r>
        <w:rPr>
          <w:szCs w:val="20"/>
          <w:vertAlign w:val="superscript"/>
        </w:rPr>
        <w:t>2</w:t>
      </w:r>
      <w:r>
        <w:rPr>
          <w:szCs w:val="20"/>
          <w:shd w:val="clear" w:color="auto" w:fill="FFFFFF"/>
        </w:rPr>
        <w:t xml:space="preserve"> oraz planowaną minimalną i maksymalną liczbę mieszkań wynoszącą od 140</w:t>
      </w:r>
      <w:r>
        <w:rPr>
          <w:szCs w:val="20"/>
          <w:shd w:val="clear" w:color="auto" w:fill="FFFFFF"/>
          <w:lang w:val="pt-PT" w:eastAsia="pt-PT" w:bidi="pt-PT"/>
        </w:rPr>
        <w:t xml:space="preserve"> do </w:t>
      </w:r>
      <w:r>
        <w:rPr>
          <w:szCs w:val="20"/>
          <w:shd w:val="clear" w:color="auto" w:fill="FFFFFF"/>
        </w:rPr>
        <w:t xml:space="preserve">200. Wniosek obejmuje analizę powiązania inwestycji mieszkaniowej i inwestycji towarzyszącej, w postaci budynku usługowego, z uzbrojeniem terenu, oraz charakterystykę inwestycji mieszkaniowej i towarzyszącej. Wnioskodawca wskazał nieruchomości, według katastru nieruchomości oraz księgi wieczystej, na których mają być zlokalizowane obiekty objęte inwestycją. Wskazano na niesprzeczność planowanej inwestycji mieszkaniowej i towarzyszącej ze studium uwarunkowań i kierunków zagospodarowania przestrzennego miasta Łodzi oraz uchwałą o utworzeniu parku kulturowego. Wskazano nieruchomości, o których mowa w art 38 ust. 1 specustawy. </w:t>
      </w:r>
      <w:r>
        <w:rPr>
          <w:szCs w:val="20"/>
          <w:shd w:val="clear" w:color="auto" w:fill="FFFFFF"/>
          <w:lang w:val="de-DE" w:eastAsia="de-DE" w:bidi="de-DE"/>
        </w:rPr>
        <w:t>W</w:t>
      </w:r>
      <w:proofErr w:type="spellStart"/>
      <w:r>
        <w:rPr>
          <w:szCs w:val="20"/>
          <w:shd w:val="clear" w:color="auto" w:fill="FFFFFF"/>
        </w:rPr>
        <w:t>ykazano</w:t>
      </w:r>
      <w:proofErr w:type="spellEnd"/>
      <w:r>
        <w:rPr>
          <w:szCs w:val="20"/>
          <w:shd w:val="clear" w:color="auto" w:fill="FFFFFF"/>
        </w:rPr>
        <w:t>, że inwestycja mieszkaniowa i towarzysząca odpowiadają standardom, o których mowa w rozdziale 3 specustawy oraz lokalnym standardom urbanistycznym. Do wniosku załączono koncepcję urbanistyczno-architektoniczną, sporządzoną przez osobę wpisaną na listę izby samorządu zawodowego architektów posiadającą uprawnienia budowlane do projektowania bez ograniczeń w </w:t>
      </w:r>
      <w:r>
        <w:rPr>
          <w:szCs w:val="20"/>
        </w:rPr>
        <w:t xml:space="preserve">specjalności </w:t>
      </w:r>
      <w:r>
        <w:rPr>
          <w:szCs w:val="20"/>
          <w:shd w:val="clear" w:color="auto" w:fill="FFFFFF"/>
        </w:rPr>
        <w:t>architektonicznej oraz inne wymagane oświadczenia i zaświadczenia.</w:t>
      </w:r>
    </w:p>
    <w:p w:rsidR="009642B2" w:rsidRDefault="004A7B80">
      <w:pPr>
        <w:keepLines/>
        <w:spacing w:before="120" w:after="120"/>
        <w:ind w:firstLine="340"/>
        <w:jc w:val="both"/>
        <w:rPr>
          <w:szCs w:val="20"/>
        </w:rPr>
      </w:pPr>
      <w:r>
        <w:rPr>
          <w:szCs w:val="20"/>
          <w:shd w:val="clear" w:color="auto" w:fill="FFFFFF"/>
        </w:rPr>
        <w:t xml:space="preserve">  W dniu 10 listopada 2025 r. wniosek został udostępniony na</w:t>
      </w:r>
      <w:r>
        <w:rPr>
          <w:szCs w:val="20"/>
        </w:rPr>
        <w:t xml:space="preserve"> stronie podmiotowej Biuletynu Informacji Publicznej wraz z informacją o formie, miejscu i terminie składania uwag. Ponadto, dnia </w:t>
      </w:r>
      <w:r>
        <w:rPr>
          <w:szCs w:val="20"/>
          <w:shd w:val="clear" w:color="auto" w:fill="FFFFFF"/>
        </w:rPr>
        <w:t>19 listopada</w:t>
      </w:r>
      <w:r>
        <w:rPr>
          <w:szCs w:val="20"/>
        </w:rPr>
        <w:t xml:space="preserve"> 2025 r. w lokalnej prasie "Łódź.pl" pojawiła się informacja o wpływie przedmiotowego wniosku wraz z informacją o formie, miejscu i terminie składania uwag. Do dnia sporządzenia niniejszego uzasadnienia projektu uchwały, żadne wnioski i uwagi nie wpłynęły do Biura Architekta Miasta.</w:t>
      </w:r>
    </w:p>
    <w:p w:rsidR="009642B2" w:rsidRDefault="004A7B80">
      <w:pPr>
        <w:keepLines/>
        <w:spacing w:before="120" w:after="120"/>
        <w:ind w:firstLine="340"/>
        <w:jc w:val="both"/>
        <w:rPr>
          <w:szCs w:val="20"/>
        </w:rPr>
      </w:pPr>
      <w:r>
        <w:rPr>
          <w:szCs w:val="20"/>
        </w:rPr>
        <w:t xml:space="preserve"> Pismami z dnia </w:t>
      </w:r>
      <w:r>
        <w:rPr>
          <w:szCs w:val="20"/>
          <w:shd w:val="clear" w:color="auto" w:fill="FFFFFF"/>
        </w:rPr>
        <w:t>10 listopada</w:t>
      </w:r>
      <w:r>
        <w:rPr>
          <w:szCs w:val="20"/>
        </w:rPr>
        <w:t xml:space="preserve"> 2025 r. powiadomiono organy opiniujące i uzgadniające, o których mowa w art. 7 ust. 12 i 14 specustawy, o możliwości przedstawienia stanowiska w sprawie w ciągu 21 dni od daty doręczenia wystąpienia.</w:t>
      </w:r>
    </w:p>
    <w:p w:rsidR="009642B2" w:rsidRDefault="004A7B80">
      <w:pPr>
        <w:spacing w:before="120" w:after="120"/>
        <w:ind w:left="283" w:firstLine="227"/>
        <w:jc w:val="both"/>
        <w:rPr>
          <w:szCs w:val="20"/>
        </w:rPr>
      </w:pPr>
      <w:r>
        <w:rPr>
          <w:szCs w:val="20"/>
        </w:rPr>
        <w:t>Następujące organy opiniujące udzieliły odpowiedzi:</w:t>
      </w:r>
    </w:p>
    <w:p w:rsidR="009642B2" w:rsidRDefault="004A7B80">
      <w:pPr>
        <w:spacing w:before="120" w:after="120"/>
        <w:ind w:firstLine="510"/>
        <w:jc w:val="both"/>
        <w:rPr>
          <w:szCs w:val="20"/>
        </w:rPr>
      </w:pPr>
      <w:r>
        <w:rPr>
          <w:rFonts w:ascii="Times New Roman Greek" w:hAnsi="Times New Roman Greek"/>
          <w:szCs w:val="20"/>
        </w:rPr>
        <w:lastRenderedPageBreak/>
        <w:t>― Szef Centralnego Wojskowego Centrum Rekrutacji O</w:t>
      </w:r>
      <w:r>
        <w:rPr>
          <w:szCs w:val="20"/>
        </w:rPr>
        <w:t>środek Zamiejscowy w Łodzi - pismo z dnia 17 listopada 2025 r., znak: CWCR_OZ_Łódź-WWiZ.0732.901.2025, informujące o braku uwag i wniosków do sprawy;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― Łódzki Państwowy Wojewódzki Inspektor Sanitarny - opinia pozytywna z 27 listopada 2025 r.,  znak: </w:t>
      </w:r>
      <w:r>
        <w:rPr>
          <w:color w:val="000000"/>
          <w:szCs w:val="20"/>
          <w:lang w:val="de-DE" w:eastAsia="de-DE" w:bidi="de-DE"/>
        </w:rPr>
        <w:t>NS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val="de-DE" w:eastAsia="de-DE" w:bidi="de-DE"/>
        </w:rPr>
        <w:t>OZNS.9022.</w:t>
      </w:r>
      <w:r>
        <w:rPr>
          <w:color w:val="000000"/>
          <w:szCs w:val="20"/>
        </w:rPr>
        <w:t>794</w:t>
      </w:r>
      <w:r>
        <w:rPr>
          <w:color w:val="000000"/>
          <w:szCs w:val="20"/>
          <w:lang w:val="de-DE" w:eastAsia="de-DE" w:bidi="de-DE"/>
        </w:rPr>
        <w:t>.202</w:t>
      </w:r>
      <w:r>
        <w:rPr>
          <w:color w:val="000000"/>
          <w:szCs w:val="20"/>
        </w:rPr>
        <w:t>5</w:t>
      </w:r>
      <w:r>
        <w:rPr>
          <w:color w:val="000000"/>
          <w:szCs w:val="20"/>
          <w:lang w:val="de-DE" w:eastAsia="de-DE" w:bidi="de-DE"/>
        </w:rPr>
        <w:t>.</w:t>
      </w:r>
      <w:r>
        <w:rPr>
          <w:color w:val="000000"/>
          <w:szCs w:val="20"/>
        </w:rPr>
        <w:t>MF;</w:t>
      </w:r>
    </w:p>
    <w:p w:rsidR="009642B2" w:rsidRDefault="004A7B80">
      <w:pPr>
        <w:spacing w:before="120" w:after="120"/>
        <w:ind w:firstLine="510"/>
        <w:jc w:val="both"/>
        <w:rPr>
          <w:szCs w:val="20"/>
        </w:rPr>
      </w:pPr>
      <w:r>
        <w:rPr>
          <w:rFonts w:ascii="Times New Roman Greek" w:hAnsi="Times New Roman Greek"/>
          <w:szCs w:val="20"/>
        </w:rPr>
        <w:t>― Miejska Komisja Urbanistyczno-Architektoniczna - pozytywna opinia wyra</w:t>
      </w:r>
      <w:r>
        <w:rPr>
          <w:szCs w:val="20"/>
        </w:rPr>
        <w:t>żona w uchwale nr 58/XXII/2025 z dnia 20 listopada 2025 r.;</w:t>
      </w:r>
    </w:p>
    <w:p w:rsidR="009642B2" w:rsidRDefault="004A7B80">
      <w:pPr>
        <w:ind w:firstLine="435"/>
        <w:jc w:val="both"/>
        <w:rPr>
          <w:szCs w:val="20"/>
        </w:rPr>
      </w:pPr>
      <w:r>
        <w:rPr>
          <w:szCs w:val="20"/>
        </w:rPr>
        <w:t>― Zarząd Województwa Łódzkiego, w imieniu którego działa Dyrektor Biura Planowania Przestrzennego Województwa Łódzkiego w Łodzi - pismo z dnia 26 listopada 2025 r., znak BPPWŁ.ZP.405.16.2025, informują</w:t>
      </w:r>
      <w:r>
        <w:rPr>
          <w:szCs w:val="20"/>
          <w:lang w:val="it-IT" w:eastAsia="it-IT" w:bidi="it-IT"/>
        </w:rPr>
        <w:t>c</w:t>
      </w:r>
      <w:r>
        <w:rPr>
          <w:szCs w:val="20"/>
        </w:rPr>
        <w:t>e</w:t>
      </w:r>
      <w:r>
        <w:rPr>
          <w:szCs w:val="20"/>
          <w:lang w:val="it-IT" w:eastAsia="it-IT" w:bidi="it-IT"/>
        </w:rPr>
        <w:t xml:space="preserve"> o</w:t>
      </w:r>
      <w:r>
        <w:rPr>
          <w:szCs w:val="20"/>
        </w:rPr>
        <w:t> pozytywnej opinii dla planowanej inwestycji mieszkaniowej w zakresie uwzględnienia wyników Audytu krajobrazowego województwa łódzkiego;</w:t>
      </w:r>
    </w:p>
    <w:p w:rsidR="009642B2" w:rsidRDefault="004A7B80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W ustawowym terminie nie wpłynęły ponadto opinie, właściwe według specustawy dla terenu inwestycji:</w:t>
      </w:r>
    </w:p>
    <w:p w:rsidR="009642B2" w:rsidRDefault="004A7B80">
      <w:pPr>
        <w:tabs>
          <w:tab w:val="left" w:pos="855"/>
        </w:tabs>
        <w:spacing w:before="120" w:after="120"/>
        <w:ind w:left="435"/>
        <w:jc w:val="both"/>
        <w:rPr>
          <w:szCs w:val="20"/>
        </w:rPr>
      </w:pPr>
      <w:r>
        <w:rPr>
          <w:szCs w:val="20"/>
        </w:rPr>
        <w:t>―</w:t>
      </w:r>
      <w:r>
        <w:rPr>
          <w:szCs w:val="20"/>
        </w:rPr>
        <w:tab/>
        <w:t xml:space="preserve">Prezydenta Miasta Łodzi, w którego imieniu działa Dyrektor Łódzkiego Ośrodka </w:t>
      </w:r>
      <w:r>
        <w:rPr>
          <w:szCs w:val="20"/>
        </w:rPr>
        <w:tab/>
        <w:t>Geodezji;</w:t>
      </w:r>
    </w:p>
    <w:p w:rsidR="009642B2" w:rsidRDefault="004A7B80">
      <w:pPr>
        <w:tabs>
          <w:tab w:val="left" w:pos="855"/>
        </w:tabs>
        <w:spacing w:before="120" w:after="120"/>
        <w:ind w:firstLine="435"/>
        <w:jc w:val="both"/>
        <w:rPr>
          <w:szCs w:val="20"/>
        </w:rPr>
      </w:pPr>
      <w:r>
        <w:rPr>
          <w:szCs w:val="20"/>
        </w:rPr>
        <w:t>―</w:t>
      </w:r>
      <w:r>
        <w:rPr>
          <w:szCs w:val="20"/>
        </w:rPr>
        <w:tab/>
        <w:t>Agencji Bezpieczeństwa Wewnętrznego / Dyrektora Delegatury w Katowicach;</w:t>
      </w:r>
    </w:p>
    <w:p w:rsidR="009642B2" w:rsidRDefault="004A7B80">
      <w:pPr>
        <w:tabs>
          <w:tab w:val="left" w:pos="855"/>
        </w:tabs>
        <w:spacing w:before="120" w:after="120"/>
        <w:ind w:firstLine="435"/>
        <w:jc w:val="both"/>
        <w:rPr>
          <w:szCs w:val="20"/>
        </w:rPr>
      </w:pPr>
      <w:r>
        <w:rPr>
          <w:szCs w:val="20"/>
        </w:rPr>
        <w:t>―</w:t>
      </w:r>
      <w:r>
        <w:rPr>
          <w:szCs w:val="20"/>
        </w:rPr>
        <w:tab/>
        <w:t>Komendanta Wojewódzkiego Policji w Łodzi;</w:t>
      </w:r>
    </w:p>
    <w:p w:rsidR="009642B2" w:rsidRDefault="004A7B80">
      <w:pPr>
        <w:tabs>
          <w:tab w:val="left" w:pos="855"/>
        </w:tabs>
        <w:spacing w:before="120" w:after="120"/>
        <w:ind w:firstLine="435"/>
        <w:jc w:val="both"/>
        <w:rPr>
          <w:szCs w:val="20"/>
        </w:rPr>
      </w:pPr>
      <w:r>
        <w:rPr>
          <w:szCs w:val="20"/>
        </w:rPr>
        <w:t>―</w:t>
      </w:r>
      <w:r>
        <w:rPr>
          <w:szCs w:val="20"/>
        </w:rPr>
        <w:tab/>
        <w:t>Komendanta Wojewódzkiego Państwowej Straży Pożarnej w Łodzi;</w:t>
      </w:r>
    </w:p>
    <w:p w:rsidR="009642B2" w:rsidRDefault="004A7B80">
      <w:pPr>
        <w:tabs>
          <w:tab w:val="left" w:pos="855"/>
        </w:tabs>
        <w:spacing w:before="120" w:after="120"/>
        <w:ind w:left="435"/>
        <w:jc w:val="both"/>
        <w:rPr>
          <w:szCs w:val="20"/>
        </w:rPr>
      </w:pPr>
      <w:r>
        <w:rPr>
          <w:szCs w:val="20"/>
        </w:rPr>
        <w:t>―</w:t>
      </w:r>
      <w:r>
        <w:rPr>
          <w:szCs w:val="20"/>
        </w:rPr>
        <w:tab/>
        <w:t>Komendanta Nadwiślańskiego Oddział</w:t>
      </w:r>
      <w:r>
        <w:rPr>
          <w:szCs w:val="20"/>
          <w:lang w:val="de-DE" w:eastAsia="de-DE" w:bidi="de-DE"/>
        </w:rPr>
        <w:t xml:space="preserve">u </w:t>
      </w:r>
      <w:proofErr w:type="spellStart"/>
      <w:r>
        <w:rPr>
          <w:szCs w:val="20"/>
          <w:lang w:val="de-DE" w:eastAsia="de-DE" w:bidi="de-DE"/>
        </w:rPr>
        <w:t>Stra</w:t>
      </w:r>
      <w:r>
        <w:rPr>
          <w:szCs w:val="20"/>
        </w:rPr>
        <w:t>ży</w:t>
      </w:r>
      <w:proofErr w:type="spellEnd"/>
      <w:r>
        <w:rPr>
          <w:szCs w:val="20"/>
        </w:rPr>
        <w:t xml:space="preserve"> Granicznej im. Powstania </w:t>
      </w:r>
      <w:r>
        <w:rPr>
          <w:szCs w:val="20"/>
        </w:rPr>
        <w:tab/>
        <w:t>Warszawskiego,</w:t>
      </w:r>
    </w:p>
    <w:p w:rsidR="009642B2" w:rsidRDefault="004A7B80">
      <w:pPr>
        <w:tabs>
          <w:tab w:val="left" w:pos="855"/>
        </w:tabs>
        <w:spacing w:before="120" w:after="120"/>
        <w:ind w:firstLine="435"/>
        <w:jc w:val="both"/>
        <w:rPr>
          <w:szCs w:val="20"/>
        </w:rPr>
      </w:pPr>
      <w:r>
        <w:rPr>
          <w:szCs w:val="20"/>
        </w:rPr>
        <w:t>―</w:t>
      </w:r>
      <w:r>
        <w:rPr>
          <w:szCs w:val="20"/>
        </w:rPr>
        <w:tab/>
        <w:t>Prezesa Urzędu Lotnictwa Cywilnego,</w:t>
      </w:r>
    </w:p>
    <w:p w:rsidR="009642B2" w:rsidRDefault="004A7B80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co do których zgodnie z art. 7 ust. 13 specustawy nieprzekazanie opinii w terminie 21 dni od dnia otrzymania powiadomienia uznaje się za brak zastrzeżeń.</w:t>
      </w:r>
    </w:p>
    <w:p w:rsidR="009642B2" w:rsidRDefault="004A7B80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Łódzki Wojewódzki Konserwator Zabytków postanowieniem z dnia 28 listopada 2025 r. znak: WUOZ-PP.5151.3752.2025.KP uzgodnił przedmiotowy wniosek w zakresie zgodności z zapisami ustawy z dnia 23 lipca 2003 r. o ochronie zabytków i opiece nad zabytkami (Dz. U. z 2024 r. poz. 1292).</w:t>
      </w:r>
    </w:p>
    <w:p w:rsidR="009642B2" w:rsidRDefault="004A7B80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Zarząd Dróg i </w:t>
      </w:r>
      <w:r>
        <w:rPr>
          <w:szCs w:val="20"/>
          <w:lang w:val="pt-PT" w:eastAsia="pt-PT" w:bidi="pt-PT"/>
        </w:rPr>
        <w:t>Transportu</w:t>
      </w:r>
      <w:r>
        <w:rPr>
          <w:szCs w:val="20"/>
        </w:rPr>
        <w:t>, wykonujący zadania zarządcy dróg publicznych, pismem z dnia 28 listopada 2025 r. znak: ZDiT-UU.40121.4.27.2025, uzgodnił przedłożony wniosek inwestora w zakresie w jakim projektowana inwestycja przebiega przez nieruchomości wchodzące w skład pasa drogowego, przylega do nieruchomości wchodzących w skład pasa drogowego lub powoduje ograniczenia w sposobie zagospodarowania pasa drogowego, i zaakceptował zaproponowaną obsługę komunikacyjną, poprzez istniejący, przeznaczony do przebudowy, zjazd z pasa drogowego oraz poprzez projektowany zjazd z pada drogowego ulicy Tylnej. Zarządca drogi wskazał jednocześnie, że wyłączone z eksploatacji fragmenty istniejących zjazdów z pasa drogowego ulicy Tylnej należy zlikwidować, a w ich miejsce odtworzyć elementy pasa drogowego w nawiązaniu do istniejącego zagospodarowania. Ponadto lokalizację projektowanego, zachodniego zjazdu należy uzgodnić z Wydziałem Kształtowania Środowiska Urzędu Miasta Łodzi, w zakresie zbliżenia do drzewa w pasie drogowym.</w:t>
      </w:r>
    </w:p>
    <w:p w:rsidR="009642B2" w:rsidRDefault="004A7B80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 xml:space="preserve">Do projektu uchwały, zgodnie z art. 7 ust. 17 specustawy, dołączone zostały uzyskane opinie i uzgodnienia oraz prognoza oddziaływania na środowisko i opracowanie </w:t>
      </w:r>
      <w:proofErr w:type="spellStart"/>
      <w:r>
        <w:rPr>
          <w:szCs w:val="20"/>
        </w:rPr>
        <w:t>ekofizjograficzne</w:t>
      </w:r>
      <w:proofErr w:type="spellEnd"/>
      <w:r>
        <w:rPr>
          <w:szCs w:val="20"/>
        </w:rPr>
        <w:t xml:space="preserve"> sporządzone dla potrzeb obowiązującego miejscowego planu </w:t>
      </w:r>
      <w:r>
        <w:rPr>
          <w:szCs w:val="20"/>
        </w:rPr>
        <w:lastRenderedPageBreak/>
        <w:t>zagospodarowania przestrzennego. Z treści opinii i uzgodnień wynika, że podmioty opiniujące lub uzgadniające nie wniosły sprzeciwu wobec planowanej inwestycji.</w:t>
      </w:r>
    </w:p>
    <w:p w:rsidR="009642B2" w:rsidRDefault="004A7B80">
      <w:pPr>
        <w:spacing w:before="120" w:after="120"/>
        <w:ind w:firstLine="510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Wniosek obejmuje lokalizację inwestycji mieszkaniowej polegającej na budowie zespołu trzech wolnostojących budynków mieszkalnych wielorodzinnych, w tym jeden - frontowy - z częścią usługową, o maksymalnie 8 kondygnacjach nadziemnych i 1 podziemnej mieszczącej garaż, wraz z zagospodarowaniem terenu nieruchomości i niezbędnymi urządzeniami budowlanymi, oraz lokalizację inwestycji towarzyszących obejmujących budowę budynku usługowego, o wysokości maksymalnie 3 kondygnacji, i przebudowę sieci i instalacji podziemnych, projektowane przyłącza. Budynek usługowy oraz frontowy budynek mieszkalny wielorodzinny z częścią usługową usytuowane zostały wzdłuż nieprzekraczalnej linii zabudowy wyznaczonej w obowiązującym na tym terenie miejscowym planie zagospodarowania przestrzennego. Planowana zabudowa mieszkaniowa zwiększa swoją wysokość wraz z odległością od ulicy, uzyskując najwyższy punkt wewnątrz kwartału do 24,5 m.</w:t>
      </w:r>
    </w:p>
    <w:p w:rsidR="009642B2" w:rsidRDefault="004A7B80">
      <w:pPr>
        <w:spacing w:before="120" w:after="120"/>
        <w:ind w:firstLine="435"/>
        <w:jc w:val="both"/>
        <w:rPr>
          <w:szCs w:val="20"/>
          <w:u w:color="000000"/>
        </w:rPr>
      </w:pPr>
      <w:r>
        <w:rPr>
          <w:szCs w:val="20"/>
          <w:u w:color="000000"/>
        </w:rPr>
        <w:t xml:space="preserve">Teren planowanej inwestycji znajduje się obszarze objętym wpisem do Gminnej ewidencji zabytków układu urbanistycznego "Posiadła wodno-fabryczne 1827 roku" oraz wpisie obszarowym do rejestru zabytków nr A/44 z dnia 20 stycznia 1971 roku - historyczny zespół budownictwa przemysłowego </w:t>
      </w:r>
      <w:proofErr w:type="spellStart"/>
      <w:r>
        <w:rPr>
          <w:szCs w:val="20"/>
          <w:u w:color="000000"/>
        </w:rPr>
        <w:t>Scheiblera</w:t>
      </w:r>
      <w:proofErr w:type="spellEnd"/>
      <w:r>
        <w:rPr>
          <w:szCs w:val="20"/>
          <w:u w:color="000000"/>
        </w:rPr>
        <w:t>-Grohmana.</w:t>
      </w:r>
    </w:p>
    <w:p w:rsidR="009642B2" w:rsidRDefault="004A7B80">
      <w:pPr>
        <w:spacing w:before="120" w:after="120"/>
        <w:ind w:firstLine="510"/>
        <w:jc w:val="both"/>
        <w:rPr>
          <w:szCs w:val="20"/>
          <w:u w:color="000000"/>
        </w:rPr>
      </w:pPr>
      <w:r>
        <w:rPr>
          <w:szCs w:val="20"/>
          <w:u w:color="000000"/>
        </w:rPr>
        <w:t>Na terenie inwestycji znajduje się obecnie skład materiałów budowlanych. Zabudowania to parterowe budynki i zadaszenia, które zostały przeznaczone do rozbiórki wg odrębnego opracowania. Obecnie teren jest niemal w całości utwardzony, za wyjątkiem mniejszych i większych drzew zlokalizowanych wzdłuż jego zachodniej granicy.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szCs w:val="20"/>
        </w:rPr>
        <w:t>Wnioskodawca złożył oświadczeni</w:t>
      </w:r>
      <w:r>
        <w:rPr>
          <w:color w:val="000000"/>
          <w:szCs w:val="20"/>
        </w:rPr>
        <w:t>e, o którym mowa w art. 7 ust. 8 pkt 2 specustawy, że nie zachodzi kolizja lokalizacji inwestycji mieszkaniowej z inwestycjami, o których mowa w art. 4 pkt 1-13 specustawy i które mają ustawowe pierwszeństwo przed inwestycjami mieszkaniowymi.</w:t>
      </w:r>
    </w:p>
    <w:p w:rsidR="009642B2" w:rsidRDefault="004A7B80">
      <w:pPr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Na obszarze obejmującym teren wniosku obowiązuje miejscowy plan zagospodarowania przestrzennego -  uchwała Nr LXV/1219/06 Rady Miejskiej w Łodzi z dnia 22 marca 2006 r., zwany dalej </w:t>
      </w:r>
      <w:proofErr w:type="spellStart"/>
      <w:r>
        <w:rPr>
          <w:color w:val="000000"/>
          <w:szCs w:val="20"/>
        </w:rPr>
        <w:t>mpzp</w:t>
      </w:r>
      <w:proofErr w:type="spellEnd"/>
      <w:r>
        <w:rPr>
          <w:color w:val="000000"/>
          <w:szCs w:val="20"/>
        </w:rPr>
        <w:t xml:space="preserve"> lub planem miejscowym. Nieruchomość, na której zaplanowano lokalizację inwestycji mieszkaniowej i towarzyszącej, obejmującej zespół zabudowy mieszkaniowej wielorodzinnej i usługowej - działka nr </w:t>
      </w:r>
      <w:proofErr w:type="spellStart"/>
      <w:r>
        <w:rPr>
          <w:color w:val="000000"/>
          <w:szCs w:val="20"/>
        </w:rPr>
        <w:t>ewid</w:t>
      </w:r>
      <w:proofErr w:type="spellEnd"/>
      <w:r>
        <w:rPr>
          <w:color w:val="000000"/>
          <w:szCs w:val="20"/>
        </w:rPr>
        <w:t xml:space="preserve">. 97/5 w obrębie S-9 położona jest w 95% w strefie wyznaczonej planem miejscowym - </w:t>
      </w:r>
      <w:r>
        <w:rPr>
          <w:szCs w:val="20"/>
        </w:rPr>
        <w:t>2.UaD-MW - tereny strefy zurbanizowanej, śródmiejskiej - w przeważającej części niewykorzystane i nie użytkowane, lub zagospodarowane i użytkowane w sposób degradujący walory środowiska zurbanizowanego miasta oraz stwarzający zagrożenie dla środowiska naturalnego - wymagające przekształceń i przeznaczone do lokalizacji zabudowy mieszkaniowej wielorodzinnej z dopuszczeniem towarzyszących funkcji usługowych, oraz w 5% w strefie 2.UA(r)-MU</w:t>
      </w:r>
      <w:r>
        <w:rPr>
          <w:color w:val="000000"/>
          <w:szCs w:val="20"/>
        </w:rPr>
        <w:t xml:space="preserve"> - tereny strefy zurbanizowanej, śródmiejskiej, o wysokim stopniu zachowania historycznych walorów układu przestrzennego oraz zabudowy, lecz wymagające, w przewadze, rehabilitacji i przeznaczone do wykorzystania i zagospodarowania na cele funkcji mieszkaniowej i funkcji usługowych. Planowana inwestycja nie uwzględnia ustaleń planu miejscowego w zakresie:</w:t>
      </w:r>
    </w:p>
    <w:p w:rsidR="009642B2" w:rsidRDefault="004A7B80">
      <w:pPr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ochrony budynku oznaczonego w </w:t>
      </w:r>
      <w:proofErr w:type="spellStart"/>
      <w:r>
        <w:rPr>
          <w:color w:val="000000"/>
          <w:szCs w:val="20"/>
        </w:rPr>
        <w:t>mpzp</w:t>
      </w:r>
      <w:proofErr w:type="spellEnd"/>
      <w:r>
        <w:rPr>
          <w:color w:val="000000"/>
          <w:szCs w:val="20"/>
        </w:rPr>
        <w:t xml:space="preserve"> jako budynek objęty obszarowym wpisem do rejestru zabytków w strefie 2.UA(r)-MU - wg koncepcji - przeznaczony do rozbiórki,</w:t>
      </w:r>
    </w:p>
    <w:p w:rsidR="009642B2" w:rsidRDefault="004A7B80">
      <w:pPr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- nieprzekraczalnej linii zabudowy - budynki oznaczone w koncepcji literami B i C - nie spełniają wschodniej linii zabudowy,</w:t>
      </w:r>
    </w:p>
    <w:p w:rsidR="009642B2" w:rsidRDefault="004A7B80">
      <w:pPr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powierzchni biologicznie czynnej - </w:t>
      </w:r>
      <w:proofErr w:type="spellStart"/>
      <w:r>
        <w:rPr>
          <w:color w:val="000000"/>
          <w:szCs w:val="20"/>
        </w:rPr>
        <w:t>mpzp</w:t>
      </w:r>
      <w:proofErr w:type="spellEnd"/>
      <w:r>
        <w:rPr>
          <w:color w:val="000000"/>
          <w:szCs w:val="20"/>
        </w:rPr>
        <w:t xml:space="preserve"> - min.25%, koncepcja - min. 12,5%,</w:t>
      </w:r>
    </w:p>
    <w:p w:rsidR="009642B2" w:rsidRDefault="004A7B80">
      <w:pPr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wysokości zabudowy frontowej od strony ulicy Tylnej - </w:t>
      </w:r>
      <w:proofErr w:type="spellStart"/>
      <w:r>
        <w:rPr>
          <w:color w:val="000000"/>
          <w:szCs w:val="20"/>
        </w:rPr>
        <w:t>mpzp</w:t>
      </w:r>
      <w:proofErr w:type="spellEnd"/>
      <w:r>
        <w:rPr>
          <w:color w:val="000000"/>
          <w:szCs w:val="20"/>
        </w:rPr>
        <w:t xml:space="preserve"> - dla zabudowy wzdłuż zewnętrznego obrysu terenu 2UaD-MW - jako nie większa niż 10,25 m, wysokość zabudowy </w:t>
      </w:r>
      <w:r>
        <w:rPr>
          <w:color w:val="000000"/>
          <w:szCs w:val="20"/>
        </w:rPr>
        <w:lastRenderedPageBreak/>
        <w:t xml:space="preserve">może wzrastać w miarę oddalania się budynków lub ich części od określonych w </w:t>
      </w:r>
      <w:proofErr w:type="spellStart"/>
      <w:r>
        <w:rPr>
          <w:color w:val="000000"/>
          <w:szCs w:val="20"/>
        </w:rPr>
        <w:t>mpzp</w:t>
      </w:r>
      <w:proofErr w:type="spellEnd"/>
      <w:r>
        <w:rPr>
          <w:color w:val="000000"/>
          <w:szCs w:val="20"/>
        </w:rPr>
        <w:t xml:space="preserve"> linii zabudowy lub linii rozgraniczających - przyrost wysokości w stosunku do przyrostu odległości nie może jednak przekroczyć wartości 0,4 z zwiększona tą drogą wysokość zabudowy (liczona od naturalnej rzędnej terenu w punkcie pomiaru wysokości budynku) nie może w żadnym miejscu przekroczyć łącznie wymiaru 24,5 m, koncepcja - zabudowa mieszkaniowa - od 20,8 m od strony ulicy Tylnej - do 24,5 m w głębi działki i 15 m - zabudowa usługowa od strony ulicy Tylnej,</w:t>
      </w:r>
    </w:p>
    <w:p w:rsidR="009642B2" w:rsidRDefault="004A7B80">
      <w:pPr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intensywności zabudowy - </w:t>
      </w:r>
      <w:proofErr w:type="spellStart"/>
      <w:r>
        <w:rPr>
          <w:color w:val="000000"/>
          <w:szCs w:val="20"/>
        </w:rPr>
        <w:t>mpzp</w:t>
      </w:r>
      <w:proofErr w:type="spellEnd"/>
      <w:r>
        <w:rPr>
          <w:color w:val="000000"/>
          <w:szCs w:val="20"/>
        </w:rPr>
        <w:t xml:space="preserve"> - maksimum 2.0, koncepcja 2.67, </w:t>
      </w:r>
    </w:p>
    <w:p w:rsidR="009642B2" w:rsidRDefault="004A7B80">
      <w:pPr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wykończenia elewacji w częściach budynków sąsiadujących z terenami przestrzeni publicznej - </w:t>
      </w:r>
      <w:proofErr w:type="spellStart"/>
      <w:r>
        <w:rPr>
          <w:color w:val="000000"/>
          <w:szCs w:val="20"/>
        </w:rPr>
        <w:t>mpzp</w:t>
      </w:r>
      <w:proofErr w:type="spellEnd"/>
      <w:r>
        <w:rPr>
          <w:color w:val="000000"/>
          <w:szCs w:val="20"/>
        </w:rPr>
        <w:t xml:space="preserve"> - cegła, koncepcja - tynk, luksfery, okładzina ceramiczna, elementy metalowe,</w:t>
      </w:r>
    </w:p>
    <w:p w:rsidR="009642B2" w:rsidRDefault="004A7B80">
      <w:pPr>
        <w:ind w:firstLine="510"/>
        <w:jc w:val="both"/>
        <w:rPr>
          <w:szCs w:val="20"/>
        </w:rPr>
      </w:pPr>
      <w:r>
        <w:rPr>
          <w:color w:val="000000"/>
          <w:szCs w:val="20"/>
        </w:rPr>
        <w:t xml:space="preserve">- w zakresie zakazu wprowadzania na elewacjach budynków okładzin ceramicznych </w:t>
      </w:r>
      <w:r>
        <w:rPr>
          <w:szCs w:val="20"/>
        </w:rPr>
        <w:t>glazurowanych, koncepcja - część parteru elewacji budynku usługowego - płytki.</w:t>
      </w:r>
    </w:p>
    <w:p w:rsidR="009642B2" w:rsidRDefault="004A7B80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Zgodnie z art. 5 ust. 3 specustawy inwestycję mieszkaniową realizuje się niezależnie od istnienia lub ustaleń miejscowego planu zagospodarowania przestrzennego pod warunkiem, że nie jest sprzeczna ze studium uwarunkowań kierunków zagospodarowania przestrzennego gminy oraz uchwałą o utworzeniu parku kulturowego. Z ustaleń Studium uwarunkowań i kierunków zagospodarowania przestrzennego, przyjętego uchwałą Nr LXIX/1753/18 Rady Miejskiej w Łodzi z dnia 28 </w:t>
      </w:r>
      <w:r>
        <w:rPr>
          <w:szCs w:val="20"/>
          <w:lang w:val="it-IT" w:eastAsia="it-IT" w:bidi="it-IT"/>
        </w:rPr>
        <w:t>marca 2018</w:t>
      </w:r>
      <w:r>
        <w:rPr>
          <w:szCs w:val="20"/>
        </w:rPr>
        <w:t> r., zmienioną uchwałą Nr VI/215/19 Rady Miejskiej w Łodzi z dnia 6 </w:t>
      </w:r>
      <w:r>
        <w:rPr>
          <w:szCs w:val="20"/>
          <w:lang w:val="it-IT" w:eastAsia="it-IT" w:bidi="it-IT"/>
        </w:rPr>
        <w:t>marca 2019</w:t>
      </w:r>
      <w:r>
        <w:rPr>
          <w:szCs w:val="20"/>
        </w:rPr>
        <w:t> r. oraz uchwałą Nr LII/1605/21 z dnia 22 grudnia 2021 r., zwanego dalej Studium, wynika, że lokalizacja wnioskowanej inwestycji mieszkaniowej znajduje się w jednostce W3b - strefa wielkomiejska, jednostka funkcjonalno-przestrzenna - wielofunkcyjne kwartały śródmiejskie III. W Studium wskazano maksymalną intensywność zabudowy 2.5, liczoną dla całego terenu W3b. Zgodnie z wnioskiem maksymalny wskaźnik intensywności zabudowy z uwzględnieniem projektowanej inwestycji wyniesie 1.048  (koncepcja dla terenu inwestycji mieszkaniowej objętej wnioskiem - 2.67). Wskaźnik powierzchni biologicznie czynnej w Studium określono na poziomie minimum 5 %. Inwestor wnioskuje o minimum 12,5 % powierzchni biologicznie czynnej w stosunku do terenu inwestycji. W studium określono maksymalną wysokość zabudowy w pierzejach ulic i placów -  w nawiązaniu do wysokości zabudowy historycznej, nie wyżej niż 21 m, a w pierzejach z udziałem zabudowy istniejącej wyższej niż 21 m oraz w narożnikach zabudowy przy skrzyżowaniach ulic - nie wyżej 25 m, z zastrzeżeniem: - przewyższeń ze względów uzasadnionych kompozycyjnie  - nie wyżej niż 30 m, - pierzei korytarzy drogowych o szerokości od 25 m do 35 m w liniach rozgraniczających zawierających ulicę o klasie technicznej minimum zbiorczej (Z) - nie wyżej niż 25 m, z dopuszczeniem przewyższeń ze względów uzasadnionych kompozycyjnie - nie wyżej niż 30 m, - pierzei korytarzy drogowych o szerokości powyżej 35 m w liniach rozgraniczających zawierających ulicę o klasie technicznej minimum zbiorczej (Z) oraz od strony innych przestrzeni publicznych o szerokości powyżej 35 m - nie wyżej niż 30 m, z dopuszczeniem przewyższeń ze względów uzasadnionych kompozycyjnie - nie wyżej niż 35 m. Natomiast maksymalna wysokość zabudowy wewnątrz kwartałów - nie wyżej niż wysokość zabudowy w pierzejach.</w:t>
      </w:r>
    </w:p>
    <w:p w:rsidR="009642B2" w:rsidRDefault="004A7B80">
      <w:pPr>
        <w:spacing w:before="120" w:after="120"/>
        <w:jc w:val="both"/>
        <w:rPr>
          <w:szCs w:val="20"/>
        </w:rPr>
      </w:pPr>
      <w:r>
        <w:rPr>
          <w:szCs w:val="20"/>
        </w:rPr>
        <w:t xml:space="preserve">Wg koncepcji, wysokość planowanej zabudowy w pierzei ulicy Tylnej nie przekroczy 20,8 m, czyli mniej niż 21 m wskazane w Studium. Wysokość zabudowy wewnątrz kwartału wg koncepcji nie przekroczy 24,5 m, czyli nie wyżej niż wysokość zabudowy w pierzejach - wysokość istniejącej zabudowy w pierzei ulicy dojazdowej, zlokalizowanej na zachód od terenu objętego wnioskiem, na działce o nr </w:t>
      </w:r>
      <w:proofErr w:type="spellStart"/>
      <w:r>
        <w:rPr>
          <w:szCs w:val="20"/>
        </w:rPr>
        <w:t>ewid</w:t>
      </w:r>
      <w:proofErr w:type="spellEnd"/>
      <w:r>
        <w:rPr>
          <w:szCs w:val="20"/>
        </w:rPr>
        <w:t xml:space="preserve">. 96/8,  wynosi 24,5 m. Również w pozostałym zakresie ustaleń Studium, jak zapotrzebowanie na miejsca parkingowe dla nowej zabudowy, odległość planowanej zabudowy mieszkaniowej w linii prostej od parku czy zasad </w:t>
      </w:r>
      <w:r>
        <w:rPr>
          <w:szCs w:val="20"/>
        </w:rPr>
        <w:lastRenderedPageBreak/>
        <w:t>kształtowania zabudowy, wniosek Inwestora o ustalenie lokalizacji inwestycji mieszkaniowej i inwestycji towarzyszących przy ulicy Tylnej 7 nie jest sprzeczny.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Inwestycja została zlokalizowana poza obszarem parku kulturowego.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Wniosek inwestora spełnia standardy lokalizacji i realizacji inwestycji mieszkaniowych określonych w rozdziale 3 specustawy w następujący sposób: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1) zgodnie z art. 17 ust. 1 specustawy: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a) inwestycja ma zapewniony dostęp do drogi publicznej - ulicy Tylnej,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b) inwestycja ma zapewniony dostęp do sieci wodociągowej i kanalizacyjnej – zgodnie z pismem Zakładu Wodociągów i Kanalizacji Sp. z o.o., znak: IT.424.1594.2025.KZ z dnia 14.07.2025 r.,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c) inwestycja ma zapewniony dostęp do sieci elektroenergetycznej – zgodnie z warunkami przyłączenia nr 25-D7/WZD/00558/SL z dnia 31.07.2025 r. PGE Dystrybucja S.A.;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2) zgodnie z art. 17 ust. 2 w związku z art. 19 specustawy i uchwałą Nr </w:t>
      </w:r>
      <w:r>
        <w:rPr>
          <w:szCs w:val="20"/>
        </w:rPr>
        <w:t>LXXVI/2076/18</w:t>
      </w:r>
      <w:r>
        <w:rPr>
          <w:color w:val="000000"/>
          <w:szCs w:val="20"/>
        </w:rPr>
        <w:t xml:space="preserve"> Rady Miejskiej w Łodzi z dnia 10 października 2018 r. w sprawie lokalnych standardów urbanistycznych dla Miasta Łodzi </w:t>
      </w:r>
      <w:r>
        <w:rPr>
          <w:szCs w:val="20"/>
        </w:rPr>
        <w:t>(Dz. Urz. Woj. Łódzkiego poz. 5644)</w:t>
      </w:r>
      <w:r>
        <w:rPr>
          <w:color w:val="000000"/>
          <w:szCs w:val="20"/>
        </w:rPr>
        <w:t xml:space="preserve">, </w:t>
      </w:r>
      <w:r>
        <w:rPr>
          <w:szCs w:val="20"/>
        </w:rPr>
        <w:t>zmienionej uchwałami Rady Miejskiej w Łodzi: Nr III/59/18 z dnia 27 grudnia 2018 r. (Dz. Urz. Woj. Łódzkiego z 2019 r. poz. 348), Nr XXXIII/1093/20 z dnia 2 grudnia 2020 r. (Dz. Urz. Woj. Łódzkiego poz. 7200), Nr LX/1810/22</w:t>
      </w:r>
      <w:r>
        <w:rPr>
          <w:szCs w:val="20"/>
          <w:lang w:val="de-DE" w:eastAsia="de-DE" w:bidi="de-DE"/>
        </w:rPr>
        <w:t xml:space="preserve"> z</w:t>
      </w:r>
      <w:r>
        <w:rPr>
          <w:szCs w:val="20"/>
        </w:rPr>
        <w:t> dnia 1 czerwca 2022 r. (Dz. Urz. Woj. Łódzkiego poz. 3675), Nr LXXIII/2191/23</w:t>
      </w:r>
      <w:r>
        <w:rPr>
          <w:szCs w:val="20"/>
          <w:lang w:val="de-DE" w:eastAsia="de-DE" w:bidi="de-DE"/>
        </w:rPr>
        <w:t xml:space="preserve"> z</w:t>
      </w:r>
      <w:r>
        <w:rPr>
          <w:szCs w:val="20"/>
        </w:rPr>
        <w:t> dnia 15 marca 2023 r. (Dz. Urz. Woj. Łódzkiego poz. 4066) i Nr LXXXVI/2608/24</w:t>
      </w:r>
      <w:r>
        <w:rPr>
          <w:szCs w:val="20"/>
          <w:lang w:val="de-DE" w:eastAsia="de-DE" w:bidi="de-DE"/>
        </w:rPr>
        <w:t xml:space="preserve"> z</w:t>
      </w:r>
      <w:r>
        <w:rPr>
          <w:szCs w:val="20"/>
        </w:rPr>
        <w:t> dnia 17 stycznia 2024 r. (Dz. Urz. Woj. Łódzkiego poz. 1102)</w:t>
      </w:r>
      <w:r>
        <w:rPr>
          <w:color w:val="000000"/>
          <w:szCs w:val="20"/>
        </w:rPr>
        <w:t>, zwanych dalej lokalnymi standardami urbanistycznymi: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a) odległość (dojście) inwestycji mieszkaniowej od istniejącego przystanku publicznego transportu zbiorowego - przystanek tramwajowy </w:t>
      </w:r>
      <w:proofErr w:type="spellStart"/>
      <w:r>
        <w:rPr>
          <w:color w:val="000000"/>
          <w:szCs w:val="20"/>
        </w:rPr>
        <w:t>Kilińskiego-Fabryczna</w:t>
      </w:r>
      <w:proofErr w:type="spellEnd"/>
      <w:r>
        <w:rPr>
          <w:color w:val="000000"/>
          <w:szCs w:val="20"/>
        </w:rPr>
        <w:t xml:space="preserve"> - wynosi nie więcej niż 500 m (około 280 m),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b)</w:t>
      </w:r>
      <w:r>
        <w:rPr>
          <w:color w:val="000000"/>
          <w:szCs w:val="20"/>
        </w:rPr>
        <w:tab/>
        <w:t> odległość (dojście) do Szkoły Podstawowej nr 2 w Łodzi przy ulicy Henryka Sienkiewicza 137/139, mogącej przyjąć nie mniej niż 7% planowanych mieszkańców inwestycji, wynosi nie więcej niż 1000 m (około 965 m), co potwierdza zaświadczenie z 3.07.2025 r., znak: DEP-Ed-I.0124.15.2025,  wydane zgodnie z art. 17 ust. 3 specustawy;</w:t>
      </w:r>
    </w:p>
    <w:p w:rsidR="009642B2" w:rsidRDefault="004A7B80">
      <w:pPr>
        <w:tabs>
          <w:tab w:val="left" w:pos="855"/>
        </w:tabs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3)</w:t>
      </w:r>
      <w:r>
        <w:rPr>
          <w:color w:val="000000"/>
          <w:szCs w:val="20"/>
        </w:rPr>
        <w:tab/>
        <w:t xml:space="preserve">zgodnie z art. 17 ust. 4 w związku z art. 19 specustawy i lokalnymi standardami urbanistycznymi, inwestycja jest zlokalizowana w odległości </w:t>
      </w:r>
      <w:proofErr w:type="spellStart"/>
      <w:r>
        <w:rPr>
          <w:color w:val="000000"/>
          <w:szCs w:val="20"/>
        </w:rPr>
        <w:t>okoł</w:t>
      </w:r>
      <w:proofErr w:type="spellEnd"/>
      <w:r>
        <w:rPr>
          <w:color w:val="000000"/>
          <w:szCs w:val="20"/>
          <w:lang w:val="it-IT" w:eastAsia="it-IT" w:bidi="it-IT"/>
        </w:rPr>
        <w:t xml:space="preserve">o </w:t>
      </w:r>
      <w:r>
        <w:rPr>
          <w:color w:val="000000"/>
          <w:szCs w:val="20"/>
        </w:rPr>
        <w:t>320 m od Parku im płk Jana Kilińskiego o powierzchni ok. 2,2 ha, czyli w odległości mniejszej niż 1000 m  od urządzonych terenów wypoczynku oraz rekreacji lub sportu, o powierzchni stanowiącej co najmniej iloczyn planowanej liczby mieszkańców (maksymalnie 316 mieszkańców) oraz wskaźnika wynoszącego 4 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>, czyli 1264 m</w:t>
      </w:r>
      <w:r>
        <w:rPr>
          <w:color w:val="000000"/>
          <w:szCs w:val="20"/>
          <w:vertAlign w:val="superscript"/>
        </w:rPr>
        <w:t>2</w:t>
      </w:r>
      <w:r>
        <w:rPr>
          <w:color w:val="000000"/>
          <w:szCs w:val="20"/>
        </w:rPr>
        <w:t>;</w:t>
      </w:r>
    </w:p>
    <w:p w:rsidR="009642B2" w:rsidRDefault="004A7B80">
      <w:pPr>
        <w:tabs>
          <w:tab w:val="left" w:pos="855"/>
        </w:tabs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4)</w:t>
      </w:r>
      <w:r>
        <w:rPr>
          <w:color w:val="000000"/>
          <w:szCs w:val="20"/>
        </w:rPr>
        <w:tab/>
        <w:t xml:space="preserve">zgodnie z art. 17 ust. 4a  w związku z art. 17 ust. 4b pkt 2 specustawy - zapewnienie minimalnego udziału ogólnodostępnego, nieogrodzonego, urządzonego terenu wypoczynku oraz rekreacji lub sportu w ramach powierzchni biologicznie czynnej - nie dotyczy; teren inwestycji położony w obszarze zabudowy śródmiejskiej zgodnie z ustaleniami </w:t>
      </w:r>
      <w:proofErr w:type="spellStart"/>
      <w:r>
        <w:rPr>
          <w:color w:val="000000"/>
          <w:szCs w:val="20"/>
        </w:rPr>
        <w:t>mpzp</w:t>
      </w:r>
      <w:proofErr w:type="spellEnd"/>
      <w:r>
        <w:rPr>
          <w:color w:val="000000"/>
          <w:szCs w:val="20"/>
        </w:rPr>
        <w:t>;</w:t>
      </w:r>
    </w:p>
    <w:p w:rsidR="009642B2" w:rsidRDefault="004A7B80">
      <w:pPr>
        <w:tabs>
          <w:tab w:val="left" w:pos="855"/>
        </w:tabs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5)</w:t>
      </w:r>
      <w:r>
        <w:rPr>
          <w:color w:val="000000"/>
          <w:szCs w:val="20"/>
        </w:rPr>
        <w:tab/>
        <w:t>zgodnie z art. 17 ust 4d pkt 1 specustawy minimalny udział powierzchni biologicznie czynnej w obszarze zabudowy śródmiejskiej wyniesie nie mniej niż 12,5% powierzchni terenu inwestycji - wg wniosku i projektu uchwały minimum 12,5%;</w:t>
      </w:r>
    </w:p>
    <w:p w:rsidR="009642B2" w:rsidRDefault="004A7B80">
      <w:pPr>
        <w:tabs>
          <w:tab w:val="left" w:pos="855"/>
        </w:tabs>
        <w:spacing w:before="120" w:after="120"/>
        <w:ind w:firstLine="510"/>
        <w:jc w:val="both"/>
        <w:rPr>
          <w:color w:val="000000"/>
          <w:szCs w:val="20"/>
          <w:shd w:val="clear" w:color="auto" w:fill="FFFFFF"/>
        </w:rPr>
      </w:pPr>
      <w:r>
        <w:rPr>
          <w:szCs w:val="20"/>
        </w:rPr>
        <w:t>6)</w:t>
      </w:r>
      <w:r>
        <w:rPr>
          <w:color w:val="F00000"/>
          <w:szCs w:val="20"/>
        </w:rPr>
        <w:tab/>
      </w:r>
      <w:r>
        <w:rPr>
          <w:color w:val="000000"/>
          <w:szCs w:val="20"/>
          <w:shd w:val="clear" w:color="auto" w:fill="FFFFFF"/>
        </w:rPr>
        <w:t xml:space="preserve">zgodnie z art. 17 ust. 6 w związku z art. 19 specustawy i lokalnymi standardami urbanistycznymi, projektowane budynki będą miały więcej niż 7 kondygnacji nadziemnych - tj. maksimum 8 kondygnacji nadziemnych i do 24,5 m ponieważ w promieniu 250 m (w odległości około 18 m) od planowanych budynków znajdują się budynki mieszkalne </w:t>
      </w:r>
      <w:r>
        <w:rPr>
          <w:color w:val="000000"/>
          <w:szCs w:val="20"/>
          <w:shd w:val="clear" w:color="auto" w:fill="FFFFFF"/>
        </w:rPr>
        <w:lastRenderedPageBreak/>
        <w:t>o wysokości do 8 kondygnacji nadziemnych i około 25 m (przy ulicy Tymienieckiego 16d, 16e, 16f i 16g);</w:t>
      </w:r>
    </w:p>
    <w:p w:rsidR="009642B2" w:rsidRDefault="004A7B80">
      <w:pPr>
        <w:tabs>
          <w:tab w:val="left" w:pos="855"/>
        </w:tabs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7)</w:t>
      </w:r>
      <w:r>
        <w:rPr>
          <w:color w:val="000000"/>
          <w:szCs w:val="20"/>
        </w:rPr>
        <w:tab/>
        <w:t>zgodnie z art. 19 ust. 3 specustawy i lokalnymi standardami urbanistycznymi:</w:t>
      </w:r>
    </w:p>
    <w:p w:rsidR="009642B2" w:rsidRDefault="004A7B80">
      <w:pPr>
        <w:spacing w:before="120" w:after="120"/>
        <w:ind w:firstLine="510"/>
        <w:jc w:val="both"/>
        <w:rPr>
          <w:color w:val="000000"/>
          <w:szCs w:val="20"/>
        </w:rPr>
      </w:pPr>
      <w:r>
        <w:rPr>
          <w:color w:val="000000"/>
          <w:szCs w:val="20"/>
        </w:rPr>
        <w:t>a) inwestycja ma zapewniony dostęp do sieci ciepłowniczej zgodnie z informacją o technicznej możliwości podłączenia do Ciepła Systemowego planowanej inwestycji nr VECP/HRSR/HZ/2025 z dnia 3.09.2025 r., wydaną przez VEOLIA ENERGIA ŁÓDŹ S.A.,</w:t>
      </w:r>
    </w:p>
    <w:p w:rsidR="009642B2" w:rsidRDefault="004A7B80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b) zapewniono niezbędną minimalną liczbę miejsc parkingowych dla obsługi inwestycji mieszkaniowej nie mniejszą niż minimalny wskaźnik 0,7 miejsca parkingowego na lokal mieszkalny, 1,5 miejsca parkingowego na każde rozpoczęte 100 m</w:t>
      </w:r>
      <w:r>
        <w:rPr>
          <w:szCs w:val="20"/>
          <w:vertAlign w:val="superscript"/>
        </w:rPr>
        <w:t xml:space="preserve">2 </w:t>
      </w:r>
      <w:r>
        <w:rPr>
          <w:szCs w:val="20"/>
        </w:rPr>
        <w:t>powierzchni użytkowej części budynku stanowiącego inwestycję mieszkaniową, przeznaczonego na działalność handlową lub usługową, dla pozostałej części Strefy Wielkomiejskiej oraz dla obsługi inwestycji towarzyszącej zapewniono minimum 2 miejsca parkingowe na każde rozpoczęte 100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powierzchni całkowitej obiektu stanowiącego inwestycję towarzyszącą. Tj. zastosowano wskaźnik 1 miejsce parkingowe na lokal mieszkalny (minimum 140 i maksimum 200) i 1,5 miejsca parkingowego na każde rozpoczęte 100 m</w:t>
      </w:r>
      <w:r>
        <w:rPr>
          <w:szCs w:val="20"/>
          <w:vertAlign w:val="superscript"/>
        </w:rPr>
        <w:t xml:space="preserve">2 </w:t>
      </w:r>
      <w:r>
        <w:rPr>
          <w:szCs w:val="20"/>
        </w:rPr>
        <w:t>powierzchni użytkowej części budynku stanowiącego inwestycję mieszkaniową, przeznaczonego na działalność handlową lub usługową (minimum 5 i maksimum 12), oraz 2 miejsca parkingowe na każde rozpoczęte 100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powierzchni całkowitej obiektu stanowiącego inwestycję towarzyszącą (minimum 6 i maksimum 10) - w sumie zapewniając, zgodnie z wnioskiem i koncepcją urbanistyczno-architektoniczną, minimum 147 miejsc parkingowych i maksimum 218 miejsc parkingowych). </w:t>
      </w:r>
    </w:p>
    <w:p w:rsidR="009642B2" w:rsidRDefault="004A7B80">
      <w:pPr>
        <w:spacing w:before="120" w:after="120"/>
        <w:ind w:firstLine="510"/>
        <w:jc w:val="both"/>
        <w:rPr>
          <w:sz w:val="23"/>
          <w:szCs w:val="20"/>
        </w:rPr>
      </w:pPr>
      <w:r>
        <w:rPr>
          <w:szCs w:val="20"/>
        </w:rPr>
        <w:t xml:space="preserve">Projektowana inwestycja mieszkaniowa nie została zlokalizowana na terenach podlegających ochronie przed lokalizowaniem lub zabudową na podstawie odrębnych przepisów, a także w granicach otulin form ochrony przyrody, rodzinnych ogrodów działkowych czy obszaru szczególnego zagrożenia powodzią, zgodnie z art. 5 ust. 1 i 2 specustawy. </w:t>
      </w:r>
      <w:r>
        <w:rPr>
          <w:sz w:val="23"/>
          <w:szCs w:val="20"/>
        </w:rPr>
        <w:t>Projektowana inwestycja nie jest zlokalizowana w odległości, o której mowa w art. 5 ust. 3a specustawy, nie jest także zlokalizowana w granicach Parku Kulturowego.</w:t>
      </w:r>
    </w:p>
    <w:p w:rsidR="009642B2" w:rsidRDefault="004A7B80">
      <w:pPr>
        <w:spacing w:before="120" w:after="120"/>
        <w:ind w:firstLine="510"/>
        <w:jc w:val="both"/>
        <w:rPr>
          <w:szCs w:val="20"/>
        </w:rPr>
      </w:pPr>
      <w:r>
        <w:rPr>
          <w:szCs w:val="20"/>
        </w:rPr>
        <w:t>Zgodnie z art. 7 ust. 4 specustawy, przy podejmowaniu niniejszej uchwały Rada Miejska w Łodzi brała pod uwagę stan zaspokojenia potrzeb mieszkaniowych na terenie gminy oraz potrzeby i możliwości rozwoju gminy wynikające z ustaleń studium uwarunkowań i kierunków zagospodarowania przestrzennego gminy i sporządzonego na jego podstawie obowiązującego miejscowego planu zagospodarowania przestrzennego. Rada Miejska w Łodzi podejmując uchwałę w sprawie uchwalenia miejscowego planu, zawierającą w swych granicach między innymi kwartał pomiędzy ulicami płk. Jana Kilińskiego, Tylną, Henryka Sienkiewicza i ks. bp. Wincentego Tymienieckiego ustaliła wysokość dla zabudowy wzdłuż zewnętrznego obrysu terenu 2UaD-MW - jako nie większa niż 10,25 m (w tym</w:t>
      </w:r>
      <w:r>
        <w:rPr>
          <w:color w:val="000000"/>
          <w:szCs w:val="20"/>
        </w:rPr>
        <w:t xml:space="preserve"> m.in. od strony ulicy Tylnej) oraz intensywność zabudowy jako nieprzekraczającą 2.0. Planowana inwestycja znacząco przekracza wskazane w </w:t>
      </w:r>
      <w:proofErr w:type="spellStart"/>
      <w:r>
        <w:rPr>
          <w:color w:val="000000"/>
          <w:szCs w:val="20"/>
        </w:rPr>
        <w:t>mpzp</w:t>
      </w:r>
      <w:proofErr w:type="spellEnd"/>
      <w:r>
        <w:rPr>
          <w:color w:val="000000"/>
          <w:szCs w:val="20"/>
        </w:rPr>
        <w:t xml:space="preserve"> parametry i zasady kształtowania zabudowy, mając na uwadze historyczne uwarunkowania, w tym przede wszystkim wysokość istniejącej zabudowy, która w pierzei ulicy płk. </w:t>
      </w:r>
      <w:r>
        <w:rPr>
          <w:szCs w:val="20"/>
        </w:rPr>
        <w:t xml:space="preserve">Jana Kilińskiego nie przekracza 3 kondygnacji i 15 m wysokości a w najbliższym sąsiedztwie terenu inwestycji - nie przekracza 11 m. Natomiast w pierzei ulicy Tylnej kształtuje się w zakresie 5 m - 14 m. Mimo niesprzeczności z ustaleniami Studium w zakresie kształtowania zabudowy, biorąc pod uwagę stan zaspokojenia potrzeb mieszkaniowych na terenie gminy oraz potrzeby i możliwości rozwoju gminy wynikające z ustaleń Studium, Rada Miejska nie znajduje uzasadnienia dla ustalenia wnioskowanej lokalizacji inwestycji mieszkaniowej i inwestycji towarzyszących. </w:t>
      </w:r>
    </w:p>
    <w:p w:rsidR="009642B2" w:rsidRDefault="009642B2">
      <w:pPr>
        <w:spacing w:before="120" w:after="120"/>
        <w:jc w:val="both"/>
        <w:rPr>
          <w:color w:val="F00000"/>
          <w:szCs w:val="20"/>
        </w:rPr>
      </w:pPr>
    </w:p>
    <w:p w:rsidR="009642B2" w:rsidRDefault="009642B2">
      <w:pPr>
        <w:spacing w:before="120" w:after="120"/>
        <w:ind w:firstLine="510"/>
        <w:jc w:val="both"/>
        <w:rPr>
          <w:i/>
          <w:color w:val="000000"/>
          <w:szCs w:val="20"/>
        </w:rPr>
      </w:pPr>
    </w:p>
    <w:p w:rsidR="009642B2" w:rsidRDefault="009642B2">
      <w:pPr>
        <w:spacing w:before="120" w:after="120"/>
        <w:ind w:firstLine="510"/>
        <w:jc w:val="both"/>
        <w:rPr>
          <w:i/>
          <w:color w:val="000000"/>
          <w:sz w:val="23"/>
          <w:szCs w:val="20"/>
        </w:rPr>
      </w:pPr>
    </w:p>
    <w:p w:rsidR="009642B2" w:rsidRDefault="009642B2">
      <w:pPr>
        <w:spacing w:before="120" w:after="120"/>
        <w:ind w:firstLine="510"/>
        <w:jc w:val="both"/>
        <w:rPr>
          <w:color w:val="000000"/>
          <w:szCs w:val="20"/>
          <w:u w:color="000000"/>
        </w:rPr>
      </w:pPr>
    </w:p>
    <w:sectPr w:rsidR="009642B2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B44" w:rsidRDefault="00E77B44">
      <w:r>
        <w:separator/>
      </w:r>
    </w:p>
  </w:endnote>
  <w:endnote w:type="continuationSeparator" w:id="0">
    <w:p w:rsidR="00E77B44" w:rsidRDefault="00E7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Greek"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9642B2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642B2" w:rsidRDefault="004A7B80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642B2" w:rsidRDefault="004A7B8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42A2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642B2" w:rsidRDefault="009642B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9642B2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642B2" w:rsidRDefault="004A7B80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642B2" w:rsidRDefault="004A7B8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42A2C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9642B2" w:rsidRDefault="009642B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B44" w:rsidRDefault="00E77B44">
      <w:r>
        <w:separator/>
      </w:r>
    </w:p>
  </w:footnote>
  <w:footnote w:type="continuationSeparator" w:id="0">
    <w:p w:rsidR="00E77B44" w:rsidRDefault="00E77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A7B80"/>
    <w:rsid w:val="00544324"/>
    <w:rsid w:val="009642B2"/>
    <w:rsid w:val="00A77B3E"/>
    <w:rsid w:val="00CA2A55"/>
    <w:rsid w:val="00E42A2C"/>
    <w:rsid w:val="00E7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735E6E-683F-4399-A435-B249ED7E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3339</Words>
  <Characters>20037</Characters>
  <Application>Microsoft Office Word</Application>
  <DocSecurity>0</DocSecurity>
  <Lines>166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odmowy ustalenia lokalizacji  inwestycji mieszkaniowej i inwestycji towarzyszących przy ulicy Tylnej 7 w Łodzi.</dc:subject>
  <dc:creator>ksudaj</dc:creator>
  <cp:lastModifiedBy>Katarzyna Sudaj</cp:lastModifiedBy>
  <cp:revision>3</cp:revision>
  <dcterms:created xsi:type="dcterms:W3CDTF">2026-01-02T09:29:00Z</dcterms:created>
  <dcterms:modified xsi:type="dcterms:W3CDTF">2026-01-05T07:43:00Z</dcterms:modified>
  <cp:category>Akt prawny</cp:category>
</cp:coreProperties>
</file>