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B3E" w:rsidRDefault="00A77B3E">
      <w:pPr>
        <w:ind w:left="6236"/>
        <w:jc w:val="left"/>
        <w:rPr>
          <w:b/>
          <w:i/>
          <w:u w:val="thick"/>
        </w:rPr>
      </w:pPr>
    </w:p>
    <w:p w:rsidR="00A77B3E" w:rsidRDefault="00A77B3E">
      <w:pPr>
        <w:ind w:left="6236"/>
        <w:jc w:val="left"/>
        <w:rPr>
          <w:b/>
          <w:i/>
          <w:u w:val="thick"/>
        </w:rPr>
      </w:pPr>
    </w:p>
    <w:p w:rsidR="00A77B3E" w:rsidRDefault="00AA2506">
      <w:pPr>
        <w:ind w:left="6236"/>
        <w:jc w:val="left"/>
      </w:pPr>
      <w:r>
        <w:t>Druk Nr</w:t>
      </w:r>
      <w:r w:rsidR="00F7308E">
        <w:t xml:space="preserve"> 7/2026</w:t>
      </w:r>
    </w:p>
    <w:p w:rsidR="00A77B3E" w:rsidRDefault="00AA2506">
      <w:pPr>
        <w:ind w:left="6236"/>
        <w:jc w:val="left"/>
      </w:pPr>
      <w:r>
        <w:t>Projekt z dnia</w:t>
      </w:r>
      <w:r w:rsidR="00F7308E">
        <w:t xml:space="preserve"> 2.01.2026</w:t>
      </w:r>
    </w:p>
    <w:p w:rsidR="00A77B3E" w:rsidRDefault="00A77B3E">
      <w:pPr>
        <w:ind w:left="6236"/>
        <w:jc w:val="left"/>
      </w:pPr>
    </w:p>
    <w:p w:rsidR="00A77B3E" w:rsidRDefault="00AA2506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AA2506">
      <w:pPr>
        <w:spacing w:before="240" w:after="240"/>
        <w:rPr>
          <w:b/>
          <w:caps/>
        </w:rPr>
      </w:pPr>
      <w:r>
        <w:rPr>
          <w:b/>
        </w:rPr>
        <w:t>z dnia                           r.</w:t>
      </w:r>
    </w:p>
    <w:p w:rsidR="00A77B3E" w:rsidRDefault="00AA2506">
      <w:pPr>
        <w:keepNext/>
        <w:spacing w:after="480"/>
      </w:pPr>
      <w:r>
        <w:rPr>
          <w:b/>
        </w:rPr>
        <w:t xml:space="preserve">w sprawie ustalenia lokalizacji inwestycji mieszkaniowej i inwestycji towarzyszącej przy ulicach Żeromskiego 94a oraz Gdańskiej 127 i 129 </w:t>
      </w:r>
      <w:r>
        <w:rPr>
          <w:b/>
        </w:rPr>
        <w:t>w Łodzi.</w:t>
      </w:r>
    </w:p>
    <w:p w:rsidR="00A77B3E" w:rsidRDefault="00AA2506">
      <w:pPr>
        <w:keepLines/>
        <w:spacing w:before="120" w:after="120"/>
        <w:ind w:firstLine="567"/>
        <w:jc w:val="both"/>
      </w:pPr>
      <w:r>
        <w:t>Na podstawie art. 18 ust. 2 pkt 15 ustawy z dnia 8 marca 1990 r. o samorządzie gminnym (Dz. U. z 2025 r. poz. 1153 i 1436) oraz art. 7 ust. 4 i art. 8 ustawy z dnia 5 lipca 2018 r. o ułatwieniach w przygotowaniu i realizacji inwestycji mieszkaniow</w:t>
      </w:r>
      <w:r>
        <w:t>ych oraz inwestycji towarzyszących (Dz. U. z 2025 r. poz. 1754), Rada Miejska w Łodzi</w:t>
      </w:r>
    </w:p>
    <w:p w:rsidR="00A77B3E" w:rsidRDefault="00AA2506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A77B3E" w:rsidRDefault="00AA2506">
      <w:pPr>
        <w:keepLines/>
        <w:spacing w:before="240" w:after="120"/>
        <w:ind w:firstLine="567"/>
        <w:jc w:val="both"/>
      </w:pPr>
      <w:r>
        <w:t>§ 1. </w:t>
      </w:r>
      <w:r>
        <w:t>Ustala się na rzecz wnioskodawcy BL Development sp. z o.o. sp.k. z siedzibą w Łodzi lokalizację inwestycji mieszkaniowej polegającej na budowi</w:t>
      </w:r>
      <w:r>
        <w:t>e zespołu budynków mieszkalnych wielorodzinnych, w tym trzech z częścią usługową na działkach nr 256/25 i 256/35 w obrębie P-20 oraz na części działki nr 256/33 w obrębie P-20 oraz inwestycji towarzyszącej polegającej na przebudowie sieci i instalacji podz</w:t>
      </w:r>
      <w:r>
        <w:t>iemnych, budowie projektowanych przyłączy na działkach nr: 189/13, 189/6 i 256/34 oraz na części działek nr 189/11 i 265/27 w obrębie P-20 oraz przebudowie wraz ze zmianą sposobu użytkowania na funkcję usługową budynku hali szedowej dawnych Zakładów Mechan</w:t>
      </w:r>
      <w:r>
        <w:t>icznych Fabryki Tlenu Franciszka Wagnera i S-ki na części działki nr 256/33 w obrębie P-20, przy ulicach Żeromskiego 94a oraz Gdańskiej 127 i 129 w Łodzi.</w:t>
      </w:r>
    </w:p>
    <w:p w:rsidR="00A77B3E" w:rsidRDefault="00AA2506">
      <w:pPr>
        <w:keepLines/>
        <w:spacing w:before="240" w:after="120"/>
        <w:ind w:firstLine="567"/>
        <w:jc w:val="both"/>
      </w:pPr>
      <w:r>
        <w:t>§ 2. </w:t>
      </w:r>
      <w:r>
        <w:t>Określa się granice terenu objętego inwestycją mieszkaniową oraz inwestycją towarzyszącą przedst</w:t>
      </w:r>
      <w:r>
        <w:t>awione na kopii mapy zasadniczej w skali 1:500 oznaczone linią przerywaną koloru czerwonego, opisane literami kolejno od A do R – zgodnie z załącznikiem Nr 1 do uchwały.</w:t>
      </w:r>
    </w:p>
    <w:p w:rsidR="00A77B3E" w:rsidRDefault="00AA25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</w:t>
      </w:r>
      <w:r>
        <w:t>Określa się minimalną łączną powierzchnię użytkową mieszkań – 13 000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</w:t>
      </w:r>
      <w:r>
        <w:rPr>
          <w:color w:val="000000"/>
          <w:u w:color="000000"/>
        </w:rPr>
        <w:t>maksymalną łączną powierzchnię użytkową mieszkań – 17 500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AA25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240 i maksymalną liczbę mieszkań – 282.</w:t>
      </w:r>
    </w:p>
    <w:p w:rsidR="00A77B3E" w:rsidRDefault="00AA25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W ramach inwestycji mieszkaniowej oraz towarzyszącej przewiduje się przestrzeń usługową o łącznej powier</w:t>
      </w:r>
      <w:r>
        <w:rPr>
          <w:color w:val="000000"/>
          <w:u w:color="000000"/>
        </w:rPr>
        <w:t>zchni od 875 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2410 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z zastrzeżeniem że powierzchnia ta będzie większa niż 5% i nie przekroczy 20% powierzchni użytkowej mieszkań, wyodrębniając kolejno: 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ramach inwestycji mieszkaniowej – od 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2200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powierzchni użytkowej przeznaczo</w:t>
      </w:r>
      <w:r>
        <w:rPr>
          <w:color w:val="000000"/>
          <w:u w:color="000000"/>
        </w:rPr>
        <w:t xml:space="preserve">nej na działalność handlową i usługową; 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ramach inwestycji towarzyszącej  – od 75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210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przeznaczonej na działalność handlową i usługową adaptowanego wolnostojącego budynku usługowego, o powierzchni całkowitej min. 120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  <w:r>
        <w:rPr>
          <w:color w:val="000000"/>
          <w:u w:color="000000"/>
        </w:rPr>
        <w:t xml:space="preserve"> maks. 300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AA25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lastRenderedPageBreak/>
        <w:t>§ 6. </w:t>
      </w:r>
      <w:r>
        <w:rPr>
          <w:color w:val="000000"/>
          <w:u w:color="000000"/>
        </w:rPr>
        <w:t>Określa się zmiany w dotychczasowym sposobie zagospodarowania i uzbrojenia terenu polegające na: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budowie zespołu czterech budynków mieszkalnych wielorodzinnych z lokalami usługowymi oraz garażami podziemnymi i budowie wolnostojącego </w:t>
      </w:r>
      <w:r>
        <w:rPr>
          <w:color w:val="000000"/>
          <w:u w:color="000000"/>
        </w:rPr>
        <w:t>budynku usługowego (w ramach inwestycji towarzyszącej);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zagospodarowaniu terenu inwestycji m.in. poprzez realizację placów zabaw, otwarte przestrzenie zieleni urządzonej wraz z utwardzonymi ciągami pieszymi oraz pieszo-jezdnymi dostępnymi publicznie ora</w:t>
      </w:r>
      <w:r>
        <w:rPr>
          <w:color w:val="000000"/>
          <w:u w:color="000000"/>
        </w:rPr>
        <w:t>z naziemnych miejsc postojowych;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budowie układu komunikacji kołowej i połączeniu jej z istniejącym zjazdem z ulicy Żeromskiego oraz pośrednio ze zjazdem z ulicy Gdańskiej;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przebudowie sieci i instalacji podziemnych;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realizacji projektowanych </w:t>
      </w:r>
      <w:r>
        <w:rPr>
          <w:color w:val="000000"/>
          <w:u w:color="000000"/>
        </w:rPr>
        <w:t>przyłączy.</w:t>
      </w:r>
    </w:p>
    <w:p w:rsidR="00A77B3E" w:rsidRDefault="00AA25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Określa się powiązanie inwestycji mieszkaniowej oraz inwestycji towarzyszącej z istniejącym i planowanym uzbrojeniem terenu – inwestycja zostanie powiązana z następującym uzbrojeniem terenu: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siecią wodociągową zlokalizowaną w ulicach Żer</w:t>
      </w:r>
      <w:r>
        <w:rPr>
          <w:color w:val="000000"/>
          <w:u w:color="000000"/>
        </w:rPr>
        <w:t>omskiego oraz Gdańskiej zgodnie z warunkami technicznymi właściwego gestora sieci;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siecią kanalizacji sanitarnej zlokalizowaną w ulicach Żeromskiego oraz Gdańskiej zgodnie z warunkami technicznymi właściwego gestora sieci;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siecią kanalizacji deszczow</w:t>
      </w:r>
      <w:r>
        <w:rPr>
          <w:color w:val="000000"/>
          <w:u w:color="000000"/>
        </w:rPr>
        <w:t>ej zlokalizowaną w ulicach Żeromskiego oraz Gdańskiej zgodnie z warunkami technicznymi właściwego gestora sieci;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siecią elektroenergetyczną zlokalizowaną w ulicach Żeromskiego oraz Gdańskiej zgodnie z warunkami technicznymi właściwego gestora sieci;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siecią ciepłowniczą zlokalizowaną w ulicy Gdańskiej zgodnie z warunkami technicznymi właściwego gestora sieci.</w:t>
      </w:r>
    </w:p>
    <w:p w:rsidR="00A77B3E" w:rsidRDefault="00AA25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mieszkaniowej: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określa się zapotrzebowanie na wodę, energię oraz sposób odprowadzania lub oczyszczania </w:t>
      </w:r>
      <w:r>
        <w:rPr>
          <w:color w:val="000000"/>
          <w:u w:color="000000"/>
        </w:rPr>
        <w:t>ścieków, a także inne potrzeby w zakresie uzbrojenia terenu, niezbędną liczbę miejsc postojowych, jak również sposób zagospodarowywania odpadów:</w:t>
      </w:r>
    </w:p>
    <w:p w:rsidR="00A77B3E" w:rsidRDefault="00AA25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na cele bytowe – do 14,5 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/s, </w:t>
      </w:r>
    </w:p>
    <w:p w:rsidR="00A77B3E" w:rsidRDefault="00AA25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ścieki bytowe do kanalizacji miejskiej  – w </w:t>
      </w:r>
      <w:r>
        <w:rPr>
          <w:color w:val="000000"/>
          <w:u w:color="000000"/>
        </w:rPr>
        <w:t>ilości równej pobieranej wody,</w:t>
      </w:r>
    </w:p>
    <w:p w:rsidR="00A77B3E" w:rsidRDefault="00AA25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ciepło z sieci miejskiej – do 1 822,5 kW,</w:t>
      </w:r>
    </w:p>
    <w:p w:rsidR="00A77B3E" w:rsidRDefault="00AA25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energia elektryczna z sieci miejskiej – do 1 400,0 kW,</w:t>
      </w:r>
    </w:p>
    <w:p w:rsidR="00A77B3E" w:rsidRDefault="00AA25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wody do celów zewnętrznej ochrony ppoż. – do 20,0 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/s, </w:t>
      </w:r>
    </w:p>
    <w:p w:rsidR="00A77B3E" w:rsidRDefault="00AA25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odprowadzenie wód opadowych do kanalizacji deszczowej – do</w:t>
      </w:r>
      <w:r>
        <w:rPr>
          <w:color w:val="000000"/>
          <w:u w:color="000000"/>
        </w:rPr>
        <w:t xml:space="preserve"> 10,0 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/s, pozostałą ilość wód opadowych należy </w:t>
      </w:r>
      <w:proofErr w:type="spellStart"/>
      <w:r>
        <w:rPr>
          <w:color w:val="000000"/>
          <w:u w:color="000000"/>
        </w:rPr>
        <w:t>zretencjonować</w:t>
      </w:r>
      <w:proofErr w:type="spellEnd"/>
      <w:r>
        <w:rPr>
          <w:color w:val="000000"/>
          <w:u w:color="000000"/>
        </w:rPr>
        <w:t xml:space="preserve"> w obrębie terenu inwestycji lub przewidzieć budowę urządzeń opóźniających odpływ i zapewniających możliwie jak największy stopień infiltracji wód opadowych do gruntu,</w:t>
      </w:r>
    </w:p>
    <w:p w:rsidR="00A77B3E" w:rsidRDefault="00AA25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gospodarka odpadami k</w:t>
      </w:r>
      <w:r>
        <w:rPr>
          <w:color w:val="000000"/>
          <w:u w:color="000000"/>
        </w:rPr>
        <w:t>omunalnymi – odpady komunalne będą segregowane i wywożone zgodnie z Regulaminem utrzymania czystości i porządku na terenie Miasta Łodzi,</w:t>
      </w:r>
    </w:p>
    <w:p w:rsidR="00A77B3E" w:rsidRDefault="00AA25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minimalna łączna liczba miejsc postojowych, powinna być zgodna: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w zakresie obsługi mieszkań z wnioskiem inwestora,</w:t>
      </w:r>
      <w:r>
        <w:rPr>
          <w:color w:val="000000"/>
          <w:u w:color="000000"/>
        </w:rPr>
        <w:t xml:space="preserve"> czyli wynosić co najmniej 1 miejsce parkingowe na lokal mieszkalny,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zakresie obsługi handlu i usług w ramach inwestycji mieszkaniowej z § 3 ust. 1 pkt 2 lit. b uchwały Nr LXXVI/2076/18 Rady Miejskiej w Łodzi z dnia 10 października 2018 r. w sprawie lo</w:t>
      </w:r>
      <w:r>
        <w:rPr>
          <w:color w:val="000000"/>
          <w:u w:color="000000"/>
        </w:rPr>
        <w:t>kalnych standardów urbanistycznych dla Miasta Łodzi (Dz. Urz. Woj. Łódzkiego poz. 5644), zmienionej uchwałami Rady Miejskiej w Łodzi: Nr III/59/18 z dnia 27 grudnia 2018 r. (Dz. Urz. Woj. Łódzkiego z 2019 r. poz. 348), Nr XXXIII/1093/20 z dnia 2 grudnia 20</w:t>
      </w:r>
      <w:r>
        <w:rPr>
          <w:color w:val="000000"/>
          <w:u w:color="000000"/>
        </w:rPr>
        <w:t>20 r. (Dz. Urz. Woj. Łódzkiego poz. 7200), Nr LX/1810/22 z dnia 1 czerwca 2022 r. (Dz. Urz. Woj. Łódzkiego poz. 3675), Nr LXXIII/2191/23 z dnia 15 marca 2023 r. (Dz. Urz. Woj. Łódzkiego poz. 4066) i Nr LXXXVI/2608/24 z dnia 17 stycznia 2024 r. (Dz. Urz. Wo</w:t>
      </w:r>
      <w:r>
        <w:rPr>
          <w:color w:val="000000"/>
          <w:u w:color="000000"/>
        </w:rPr>
        <w:t>j. Łódzkiego poz. 1102), zwanej dalej uchwałą w sprawie lokalnych standardów urbanistycznych dla Miasta Łodzi, czyli wynosić co najmniej 1,5 miejsca parkingowego na każde rozpoczęte 100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powierzchni użytkowej części budynku stanowiącego inwestycję mieszk</w:t>
      </w:r>
      <w:r>
        <w:rPr>
          <w:color w:val="000000"/>
          <w:u w:color="000000"/>
        </w:rPr>
        <w:t xml:space="preserve">aniową, przeznaczonej na działalność handlową lub usługową, 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w zakresie obsługi realizowanej inwestycji towarzyszącej polegającej na realizacji wolnostojącego budynku usługowego z § 3 ust. 2 uchwały w sprawie lokalnych standardów urbanistycznych dla Mia</w:t>
      </w:r>
      <w:r>
        <w:rPr>
          <w:color w:val="000000"/>
          <w:u w:color="000000"/>
        </w:rPr>
        <w:t>sta Łodzi, czyli wynosić minimum 2 miejsca parkingowe na każde rozpoczęte 100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powierzchni całkowitej obiektu; 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określa się planowany sposób zagospodarowania terenu oraz charakterystykę zabudowy i zagospodarowania terenu, w tym przeznaczenie </w:t>
      </w:r>
      <w:r>
        <w:rPr>
          <w:color w:val="000000"/>
          <w:u w:color="000000"/>
        </w:rPr>
        <w:t>projektowanych obiektów budowlanych, przedstawione w formie opisowej i graficznej:</w:t>
      </w:r>
    </w:p>
    <w:p w:rsidR="00A77B3E" w:rsidRDefault="00AA25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budowa zespołu czterech budynków mieszkalnych wielorodzinnych (A', B, C i D) z lokalami usługowymi w parterach budynków A', B i C wraz z</w:t>
      </w:r>
      <w:r>
        <w:rPr>
          <w:color w:val="000000"/>
          <w:u w:color="000000"/>
        </w:rPr>
        <w:t> garażami podziemnymi oraz budowa wolnostojącego budynku usługowego – budynek E (w ramach inwestycji towarzyszącej) stanowiący fragment zachowanej hali szedowej wraz z wieżyczką, która chroniona jest wpisem do gminnej ewidencji zabytków miasta Łodzi, będąc</w:t>
      </w:r>
      <w:r>
        <w:rPr>
          <w:color w:val="000000"/>
          <w:u w:color="000000"/>
        </w:rPr>
        <w:t>a pozostałością dawnego zespołu Zakładów Mechanicznych i Fabryki Tlenu Franciszka Wagnera i S-ki,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budynek D o maksymalnej wysokości do 9 kondygnacji, budynki A' i B o maksymalnej wysokości do 7 kondygnacji, budynek C do 8 kondygnacji oraz budynek E (pozo</w:t>
      </w:r>
      <w:r>
        <w:rPr>
          <w:color w:val="000000"/>
          <w:u w:color="000000"/>
        </w:rPr>
        <w:t>stałości zabytkowego budynku) do 2 kondygnacji,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zagospodarowanie terenu inwestycji m.in. poprzez realizację placów zabaw, otwarte przestrzenie zieleni urządzonej wraz z utwardzonymi ciągami pieszymi oraz pieszo-jezdnymi dostępnymi publicznie, które zapro</w:t>
      </w:r>
      <w:r>
        <w:rPr>
          <w:color w:val="000000"/>
          <w:u w:color="000000"/>
        </w:rPr>
        <w:t>jektowano tak, aby połączyły ulicę Gdańską z ulicą Żeromskiego za pomocą meandrujących ciągów  oraz naziemnych miejsc postojowych,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planuje się w całości założenia wprowadzenie zróżnicowania detalu elewacji w celu nawiązania do otaczającej zabudowy mieszk</w:t>
      </w:r>
      <w:r>
        <w:rPr>
          <w:color w:val="000000"/>
          <w:u w:color="000000"/>
        </w:rPr>
        <w:t>aniowej i realizację częściowo ażurowych balustrad w budynkach A', B i D, a także częściowo szklanych balustrad w budynku C,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dostęp do drogi publicznej poprzez budowę układu komunikacji kołowej oraz połączenie z istniejącym zjazdem z ulicy Żeromskiego or</w:t>
      </w:r>
      <w:r>
        <w:rPr>
          <w:color w:val="000000"/>
          <w:u w:color="000000"/>
        </w:rPr>
        <w:t>az zjazdem z dostępem na podstawie służebności przejścia i przejazdu od strony ul. Gdańskiej,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przebudowa sieci i instalacji podziemnych,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realizacja projektowanych przyłączy,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 xml:space="preserve">etap I przewiduje realizację budynków A' i B zlokalizowanych od strony </w:t>
      </w:r>
      <w:r>
        <w:rPr>
          <w:color w:val="000000"/>
          <w:u w:color="000000"/>
        </w:rPr>
        <w:t>wschodniej terenu objętego wnioskiem (ul. Gdańskiej) oraz budowę placu zabaw obsługującego projektowane budynki, który planuje się zlokalizować w południowo-zachodnim narożniku tego etapu,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etap II przewiduje realizację budynków C i D w zachodniej części </w:t>
      </w:r>
      <w:r>
        <w:rPr>
          <w:color w:val="000000"/>
          <w:u w:color="000000"/>
        </w:rPr>
        <w:t>terenu objętego wnioskiem oraz przebudowę budynku hali szedowej i realizację budynku usługowego E,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planowany sposób zagospodarowania terenu określa załącznik Nr 2 do uchwały,</w:t>
      </w:r>
    </w:p>
    <w:p w:rsidR="00A77B3E" w:rsidRDefault="00AA25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zabudowy: zabudowa mieszkaniowa wielorodzin</w:t>
      </w:r>
      <w:r>
        <w:rPr>
          <w:color w:val="000000"/>
          <w:u w:color="000000"/>
        </w:rPr>
        <w:t>na z usługami w parterze i parkingiem podziemnym oraz wolnostojący budynek usługowy;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określa się charakterystyczne parametry techniczne inwestycji mieszkaniowej oraz dane charakteryzujące jej wpływ na środowisko (w myśl ustawy z dnia 3 października 2008</w:t>
      </w:r>
      <w:r>
        <w:rPr>
          <w:color w:val="000000"/>
          <w:u w:color="000000"/>
        </w:rPr>
        <w:t> r. o udostępnianiu informacji o środowisku i jego ochronie, udziale społeczeństwa w ochronie środowiska oraz o ocenach oddziaływania na środowisko, Dz. U. z 2024 r. poz. 1112, 1881 i 1940 oraz z 2025 r. poz. 1535):</w:t>
      </w:r>
    </w:p>
    <w:p w:rsidR="00A77B3E" w:rsidRDefault="00AA25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</w:t>
      </w:r>
      <w:r>
        <w:rPr>
          <w:color w:val="000000"/>
          <w:u w:color="000000"/>
        </w:rPr>
        <w:t>e: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terenu inwestycji objętej wnioskiem – 15 490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terenu inwestycji mieszkaniowej (powierzchnia działek należących do inwestora) – 10 845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zabudowy – do 5 650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(co stanowi do 52% powierzchni działek inw</w:t>
      </w:r>
      <w:r>
        <w:rPr>
          <w:color w:val="000000"/>
          <w:u w:color="000000"/>
        </w:rPr>
        <w:t xml:space="preserve">estora), 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powierzchnie utwardzone na działkach, na których zlokalizowana jest inwestycja mieszkaniowa – maks. 5 420 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(co stanowi do 50% powierzchnia działek inwestora), 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biologicznie czynna – min. 2 170 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(co stanowi min. 20% powierzchn</w:t>
      </w:r>
      <w:r>
        <w:rPr>
          <w:color w:val="000000"/>
          <w:u w:color="000000"/>
        </w:rPr>
        <w:t xml:space="preserve">i działek inwestora), </w:t>
      </w:r>
    </w:p>
    <w:p w:rsidR="00A77B3E" w:rsidRDefault="00AA25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budynków mieszkalnych w ramach inwestycji mieszkaniowej: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 – do 30 m dla zabudowy frontowej od strony ul. Żeromskiego, do 27 m dla pozostałej zabudowy (budynek D o maksymalnej wysokości do 9 kondy</w:t>
      </w:r>
      <w:r>
        <w:rPr>
          <w:color w:val="000000"/>
          <w:u w:color="000000"/>
        </w:rPr>
        <w:t>gnacji, budynki A' i B o maksymalnej wysokości do 7 kondygnacji, budynek C do 8 kondygnacji),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 dachu i kąt nachylenia połaci dachowych – dachy płaskie,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użytkowa przeznaczona na działalność handlową lub usługową – od 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2200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</w:t>
      </w:r>
    </w:p>
    <w:p w:rsidR="00A77B3E" w:rsidRDefault="00AA25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charakterystyka budynku usługowego stanowiącego inwestycję towarzyszącą: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 – do 13 m i maks. 2 kondygnacje nadziemne (to wysokość istniejącej wieżyczki hali szedowej),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powierzchnia całkowita obiektu – od 120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300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</w:t>
      </w:r>
    </w:p>
    <w:p w:rsidR="00A77B3E" w:rsidRDefault="00AA25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powierzchnia użytkowa, handlowa lub usługowa – od 75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210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</w:t>
      </w:r>
    </w:p>
    <w:p w:rsidR="00A77B3E" w:rsidRDefault="00AA25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lastRenderedPageBreak/>
        <w:t>d) </w:t>
      </w:r>
      <w:r>
        <w:rPr>
          <w:color w:val="000000"/>
          <w:u w:color="000000"/>
        </w:rPr>
        <w:t>zgodnie z rozporządzeniem Rady Ministrów z dnia 10 września 2019 r. w sprawie przedsięwzięć mogących znacząco oddziaływać na środowisko (Dz. U. poz. 1839, z 2022 r. poz. 1071 oraz z 20</w:t>
      </w:r>
      <w:r>
        <w:rPr>
          <w:color w:val="000000"/>
          <w:u w:color="000000"/>
        </w:rPr>
        <w:t>23 r. poz. 1724) projektowana inwestycja sklasyfikowana została jako inwestycja mogąca potencjalnie znacząco oddziaływać na środowisko, co określono w decyzji Nr 58/U/2025 z dnia 10 września 2025 r. wydanej przez Prezydenta Miasta Łodzi za pośrednictwem Wy</w:t>
      </w:r>
      <w:r>
        <w:rPr>
          <w:color w:val="000000"/>
          <w:u w:color="000000"/>
        </w:rPr>
        <w:t>działu Ochrony Środowiska i Rolnictwa w Departamencie Ekologii i Klimatu Urzędu Miasta Łodzi ze względu na to, że planowana powierzchnia użytkowa projektowanego garażu jest większa niż 1 ha, o którym mowa w § 3 ust. 1 pkt 58 lit. b rozporządzenia, projekto</w:t>
      </w:r>
      <w:r>
        <w:rPr>
          <w:color w:val="000000"/>
          <w:u w:color="000000"/>
        </w:rPr>
        <w:t>wana inwestycja mieszkaniowa oraz towarzysząca powinna być zgodna z ww. decyzją.</w:t>
      </w:r>
    </w:p>
    <w:p w:rsidR="00A77B3E" w:rsidRDefault="00AA25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będą zlokalizowane na następujących nieruchomościach lub ich częściach, wskazanych według katastru nieruchomości oraz księgi wieczy</w:t>
      </w:r>
      <w:r>
        <w:rPr>
          <w:color w:val="000000"/>
          <w:u w:color="000000"/>
        </w:rPr>
        <w:t>stej: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inwestycji mieszkaniowej:</w:t>
      </w:r>
    </w:p>
    <w:p w:rsidR="00A77B3E" w:rsidRDefault="00AA2506">
      <w:pPr>
        <w:keepLines/>
        <w:spacing w:before="120" w:after="120"/>
        <w:ind w:left="454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 działce nr 256/25, obręb P-20</w:t>
      </w:r>
      <w:r>
        <w:rPr>
          <w:color w:val="000000"/>
          <w:u w:color="000000"/>
        </w:rPr>
        <w:t>,</w:t>
      </w:r>
    </w:p>
    <w:p w:rsidR="00A77B3E" w:rsidRDefault="00AA2506">
      <w:pPr>
        <w:keepLines/>
        <w:spacing w:before="120" w:after="120"/>
        <w:ind w:left="454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 działce nr 256/35, obręb P-20</w:t>
      </w:r>
      <w:r>
        <w:rPr>
          <w:color w:val="000000"/>
          <w:u w:color="000000"/>
        </w:rPr>
        <w:t>,</w:t>
      </w:r>
    </w:p>
    <w:p w:rsidR="00A77B3E" w:rsidRDefault="00AA2506">
      <w:pPr>
        <w:keepLines/>
        <w:spacing w:before="120" w:after="120"/>
        <w:ind w:left="454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 części działki nr 256/33, obręb P-20</w:t>
      </w:r>
      <w:r>
        <w:rPr>
          <w:color w:val="000000"/>
          <w:u w:color="000000"/>
        </w:rPr>
        <w:t>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inwestycji towarzyszącej:</w:t>
      </w:r>
    </w:p>
    <w:p w:rsidR="00A77B3E" w:rsidRDefault="00AA2506">
      <w:pPr>
        <w:keepLines/>
        <w:spacing w:before="120" w:after="120"/>
        <w:ind w:left="454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 dzia</w:t>
      </w:r>
      <w:r>
        <w:rPr>
          <w:color w:val="000000"/>
          <w:u w:color="000000"/>
        </w:rPr>
        <w:t>łkach nr 189/13 i 189/6, obręb P-20</w:t>
      </w:r>
      <w:r>
        <w:rPr>
          <w:color w:val="000000"/>
          <w:u w:color="000000"/>
        </w:rPr>
        <w:t>,</w:t>
      </w:r>
    </w:p>
    <w:p w:rsidR="00A77B3E" w:rsidRDefault="00AA2506">
      <w:pPr>
        <w:keepLines/>
        <w:spacing w:before="120" w:after="120"/>
        <w:ind w:left="454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 działce nr  256/34, obręb P-20</w:t>
      </w:r>
      <w:r>
        <w:rPr>
          <w:color w:val="000000"/>
          <w:u w:color="000000"/>
        </w:rPr>
        <w:t>,</w:t>
      </w:r>
    </w:p>
    <w:p w:rsidR="00A77B3E" w:rsidRDefault="00AA2506">
      <w:pPr>
        <w:keepLines/>
        <w:spacing w:before="120" w:after="120"/>
        <w:ind w:left="454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 części działki nr 189/11, obręb P-20</w:t>
      </w:r>
      <w:r>
        <w:rPr>
          <w:color w:val="000000"/>
          <w:u w:color="000000"/>
        </w:rPr>
        <w:t>,</w:t>
      </w:r>
    </w:p>
    <w:p w:rsidR="00A77B3E" w:rsidRDefault="00AA2506">
      <w:pPr>
        <w:keepLines/>
        <w:spacing w:before="120" w:after="120"/>
        <w:ind w:left="454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 części działki nr 265/27, obręb P-20</w:t>
      </w:r>
      <w:r>
        <w:rPr>
          <w:color w:val="000000"/>
          <w:u w:color="000000"/>
        </w:rPr>
        <w:t>,</w:t>
      </w:r>
    </w:p>
    <w:p w:rsidR="00A77B3E" w:rsidRDefault="00AA2506">
      <w:pPr>
        <w:keepLines/>
        <w:spacing w:before="120" w:after="120"/>
        <w:ind w:left="454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 części działki nr 256/</w:t>
      </w:r>
      <w:r>
        <w:rPr>
          <w:color w:val="000000"/>
          <w:u w:color="000000"/>
        </w:rPr>
        <w:t>33, obręb P-20</w:t>
      </w:r>
      <w:r w:rsidR="00F7308E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– dla wolnostojącego budynku usługowego (przebudowa wraz ze zmianą sposobu użytkowania na funkcję usługową budynku hali szedowej dawnych Zakładów Mechanicznych Fabryki Tlenu Franciszka Wagnera i S-ki).</w:t>
      </w:r>
    </w:p>
    <w:p w:rsidR="00A77B3E" w:rsidRDefault="00AA25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 xml:space="preserve">Nie wskazuje </w:t>
      </w:r>
      <w:r>
        <w:rPr>
          <w:color w:val="000000"/>
          <w:u w:color="000000"/>
        </w:rPr>
        <w:t>się nieruchomości, w stosunku do której decyzja o pozwoleniu na budowę inwestycji mieszkaniowej ma wywołać skutek, o którym mowa w art. 35 ust. 1 ustawy z dnia 5 lipca 2018 r. o ułatwieniach w przygotowaniu i realizacji inwestycji mieszkaniowych oraz inwes</w:t>
      </w:r>
      <w:r>
        <w:rPr>
          <w:color w:val="000000"/>
          <w:u w:color="000000"/>
        </w:rPr>
        <w:t>tycji towarzyszących.</w:t>
      </w:r>
    </w:p>
    <w:p w:rsidR="00A77B3E" w:rsidRDefault="00AA25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 xml:space="preserve">Wskazuje się nieruchomości lub ich części według katastru nieruchomości oraz księgi wieczystej, o których mowa w art. 38 ust. 1 ustawy z dnia 5 lipca 2018 r. o ułatwieniach w przygotowaniu i realizacji inwestycji mieszkaniowych </w:t>
      </w:r>
      <w:r>
        <w:rPr>
          <w:color w:val="000000"/>
          <w:u w:color="000000"/>
        </w:rPr>
        <w:t>oraz inwestycji towarzyszących: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działka nr 189/13, obręb P-20</w:t>
      </w:r>
      <w:r>
        <w:rPr>
          <w:color w:val="000000"/>
          <w:u w:color="000000"/>
        </w:rPr>
        <w:t>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działka nr 189/6, obręb P-20</w:t>
      </w:r>
      <w:r>
        <w:rPr>
          <w:color w:val="000000"/>
          <w:u w:color="000000"/>
        </w:rPr>
        <w:t>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działka nr 256/34, obręb P-20</w:t>
      </w:r>
      <w:r>
        <w:rPr>
          <w:color w:val="000000"/>
          <w:u w:color="000000"/>
        </w:rPr>
        <w:t>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część działki nr 189/11, obręb P-20</w:t>
      </w:r>
      <w:r>
        <w:rPr>
          <w:color w:val="000000"/>
          <w:u w:color="000000"/>
        </w:rPr>
        <w:t>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część </w:t>
      </w:r>
      <w:r>
        <w:rPr>
          <w:color w:val="000000"/>
          <w:u w:color="000000"/>
        </w:rPr>
        <w:t>działki nr 265/27, obręb P-20</w:t>
      </w:r>
      <w:bookmarkStart w:id="0" w:name="_GoBack"/>
      <w:bookmarkEnd w:id="0"/>
      <w:r>
        <w:rPr>
          <w:color w:val="000000"/>
          <w:u w:color="000000"/>
        </w:rPr>
        <w:t>.</w:t>
      </w:r>
    </w:p>
    <w:p w:rsidR="00A77B3E" w:rsidRDefault="00AA25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Określa się warunki wynikające z potrzeb ochrony środowiska i ochrony zabytków: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 xml:space="preserve">realizacja planowanej inwestycji powinna być zgodna z wymogami ochrony środowiska zawartymi w obowiązujących </w:t>
      </w:r>
      <w:r>
        <w:rPr>
          <w:color w:val="000000"/>
          <w:u w:color="000000"/>
        </w:rPr>
        <w:t>przepisach i normach, w tym ustawie z dnia 27 kwietnia 2001 r. – Prawo ochrony środowiska (Dz. U. z 2025 r. poz. 647, 1080, 1812 i 1863);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 inwestycji jest zlokalizowany poza formami ochrony przyrody i ich otulinami, o których mowa w art. 6 ustawy z</w:t>
      </w:r>
      <w:r>
        <w:rPr>
          <w:color w:val="000000"/>
          <w:u w:color="000000"/>
        </w:rPr>
        <w:t> dnia 16 kwietnia 2004 r. o ochronie przyrody (Dz. U. z 2024 r. poz. 1478 i 1940 oraz z 2025 r. poz. 884 i 1673);</w:t>
      </w:r>
    </w:p>
    <w:p w:rsidR="00A77B3E" w:rsidRDefault="00AA25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zgodnie z art. 7 ustawy z dnia 23 lipca 2003 r. o ochronie zabytków i opiece nad zabytkami (Dz. U. z 2024 r. poz. 1292 i 1907 oraz z 2025 r</w:t>
      </w:r>
      <w:r>
        <w:rPr>
          <w:color w:val="000000"/>
          <w:u w:color="000000"/>
        </w:rPr>
        <w:t>. poz. 1168 i 1673) teren planowanej inwestycji jest objęty formami ochrony konserwatorskiej – na nieruchomości objętej wnioskiem zlokalizowany jest budynek hali szedowej będącej częścią dawnych Zakładów Mechanicznych Fabryki Tlenu Franciszka Wagnera i S-k</w:t>
      </w:r>
      <w:r>
        <w:rPr>
          <w:color w:val="000000"/>
          <w:u w:color="000000"/>
        </w:rPr>
        <w:t>i, ujętej w gminnej ewidencji zabytków miasta Łodzi, omawiany teren został objęty uchwałą Nr VI/213/19 Rady Miejskiej w Łodzi z dnia 6 marca 2019 r. w sprawie uchwalenia miejscowego planu zagospodarowania przestrzennego dla części obszaru miasta Łodzi poło</w:t>
      </w:r>
      <w:r>
        <w:rPr>
          <w:color w:val="000000"/>
          <w:u w:color="000000"/>
        </w:rPr>
        <w:t>żonej w rejonie alei: Adama Mickiewicza i Tadeusza Kościuszki i ulic: Łąkowej, Marii Skłodowskiej-Curie, Stefana Żeromskiego, Andrzeja Struga, Gdańskiej, Mikołaja Kopernika i Wólczańskiej (Dz. Urz. Woj. Łódzkiego poz. 2168).</w:t>
      </w:r>
    </w:p>
    <w:p w:rsidR="00A77B3E" w:rsidRDefault="00AA25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</w:t>
      </w:r>
      <w:r>
        <w:rPr>
          <w:color w:val="000000"/>
          <w:u w:color="000000"/>
        </w:rPr>
        <w:t>zi praw do terenu oraz nie narusza prawa własności i uprawnień osób trzecich.</w:t>
      </w:r>
    </w:p>
    <w:p w:rsidR="00A77B3E" w:rsidRDefault="00AA25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AA25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:rsidR="00A77B3E" w:rsidRDefault="00AA2506">
      <w:pPr>
        <w:keepNext/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</w:t>
      </w:r>
      <w:r>
        <w:rPr>
          <w:color w:val="000000"/>
          <w:u w:color="000000"/>
        </w:rPr>
        <w:t>m podjęcia.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14417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44172" w:rsidRDefault="00144172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44172" w:rsidRDefault="00AA2506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A77B3E" w:rsidRDefault="00AA2506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AA2506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850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A77B3E" w:rsidRDefault="00AA2506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</w:t>
      </w:r>
      <w:r>
        <w:rPr>
          <w:color w:val="000000"/>
          <w:u w:color="000000"/>
        </w:rPr>
        <w:t xml:space="preserve"> Miejskiej w Łodzi</w:t>
      </w:r>
      <w:r>
        <w:rPr>
          <w:color w:val="000000"/>
          <w:u w:color="000000"/>
        </w:rPr>
        <w:br/>
        <w:t>z dnia</w:t>
      </w:r>
    </w:p>
    <w:p w:rsidR="00A77B3E" w:rsidRDefault="00AA2506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Granice terenu objętego inwestycją wnioskiem.</w:t>
      </w:r>
    </w:p>
    <w:p w:rsidR="00A77B3E" w:rsidRDefault="00AA250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353797" cy="2870974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28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A250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630061" cy="6031705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603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A250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611008" cy="6024820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602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AA2506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:rsidR="00A77B3E" w:rsidRDefault="00AA2506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terenu.</w:t>
      </w:r>
    </w:p>
    <w:p w:rsidR="00A77B3E" w:rsidRDefault="00AA250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391903" cy="3201442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903" cy="320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A250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668166" cy="6730948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73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A250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677693" cy="6728066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7693" cy="67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:rsidR="00144172" w:rsidRDefault="00AA2506">
      <w:pPr>
        <w:spacing w:before="120" w:after="120"/>
        <w:rPr>
          <w:color w:val="000000"/>
          <w:szCs w:val="20"/>
        </w:rPr>
      </w:pPr>
      <w:r>
        <w:rPr>
          <w:b/>
          <w:color w:val="000000"/>
          <w:szCs w:val="20"/>
        </w:rPr>
        <w:lastRenderedPageBreak/>
        <w:t>Uzasadnienie</w:t>
      </w:r>
    </w:p>
    <w:p w:rsidR="00144172" w:rsidRDefault="00AA2506">
      <w:pPr>
        <w:tabs>
          <w:tab w:val="left" w:pos="708"/>
        </w:tabs>
        <w:jc w:val="both"/>
        <w:rPr>
          <w:szCs w:val="20"/>
        </w:rPr>
      </w:pPr>
      <w:r>
        <w:rPr>
          <w:color w:val="000000"/>
          <w:szCs w:val="20"/>
        </w:rPr>
        <w:tab/>
      </w:r>
      <w:r>
        <w:rPr>
          <w:color w:val="000000"/>
          <w:szCs w:val="20"/>
        </w:rPr>
        <w:t>Inwestor BL Development sp. z o.o. sp.k. pismem z dnia 07.11.2025 r. (data wpływu do BAr: 10.11.2025 r.) wraz ze sprostowaniem z dnia 12.11.2025 r. wystąpił do Rady Miejskiej w Łodzi, za pośrednictwem Prezydenta Miasta Łodzi - Biura Architekta Miasta w Dep</w:t>
      </w:r>
      <w:r>
        <w:rPr>
          <w:color w:val="000000"/>
          <w:szCs w:val="20"/>
        </w:rPr>
        <w:t>artamencie Planowania i Rozwoju Gospodarczego Urzędu Miasta Łodzi, na podstawie ustawy z dnia 5 lipca 2018 r. o ułatwieniach w przygotowaniu i realizacji inwestycji mieszkaniowych i inwestycji towarzyszących (Dz. U. z 2025 r. poz. 1754), zwanej dalej specu</w:t>
      </w:r>
      <w:r>
        <w:rPr>
          <w:color w:val="000000"/>
          <w:szCs w:val="20"/>
        </w:rPr>
        <w:t xml:space="preserve">stawą, o ustalenie lokalizacji inwestycji mieszkaniowej polegającej na budowie zespołu budynków mieszkalnych wielorodzinnych, w tym trzech z częścią usługową </w:t>
      </w:r>
      <w:r>
        <w:rPr>
          <w:szCs w:val="20"/>
        </w:rPr>
        <w:t>na działkach nr 256/25 i 256/35 w obrębie P-20 oraz na części działki nr 256/33 w obrębie P-20 oraz inwestycji towarzyszącej polegającej na przebudowie sieci i instalacji podziemnych, budowie projektowanych przyłączy na działkach nr: 189/13, 189/6 i 256/34</w:t>
      </w:r>
      <w:r>
        <w:rPr>
          <w:szCs w:val="20"/>
        </w:rPr>
        <w:t xml:space="preserve"> oraz na części działek nr 189/11 i 265/27 w obrębie P-20 oraz przebudowie wraz ze zmianą sposobu użytkowania na funkcję usługową budynku hali szedowej dawnych Zakładów Mechanicznych Fabryki Tlenu Franciszka Wagnera i S-ki na części działki nr 256/33 w obr</w:t>
      </w:r>
      <w:r>
        <w:rPr>
          <w:szCs w:val="20"/>
        </w:rPr>
        <w:t xml:space="preserve">ębie P-20 przy ulicach Żeromskiego 94a oraz Gdańskiej 127 i 129 w Łodzi. </w:t>
      </w:r>
    </w:p>
    <w:p w:rsidR="00144172" w:rsidRDefault="00AA2506">
      <w:pPr>
        <w:tabs>
          <w:tab w:val="left" w:pos="708"/>
        </w:tabs>
        <w:jc w:val="both"/>
        <w:rPr>
          <w:color w:val="000000"/>
          <w:sz w:val="23"/>
          <w:szCs w:val="20"/>
        </w:rPr>
      </w:pPr>
      <w:r>
        <w:rPr>
          <w:szCs w:val="20"/>
        </w:rPr>
        <w:tab/>
      </w:r>
      <w:r>
        <w:rPr>
          <w:color w:val="000000"/>
          <w:szCs w:val="20"/>
          <w:shd w:val="clear" w:color="auto" w:fill="FFFFFF"/>
        </w:rPr>
        <w:t>Po weryfikacji wniosku stwierdzono, że spełnia wymogi dotyczące kompletności wniosku określone w art. 7 ust. 7 specustawy. We wniosku określono granice terenu objętego wnioskiem, pr</w:t>
      </w:r>
      <w:r>
        <w:rPr>
          <w:color w:val="000000"/>
          <w:szCs w:val="20"/>
          <w:shd w:val="clear" w:color="auto" w:fill="FFFFFF"/>
        </w:rPr>
        <w:t>zedstawiając je na kopii mapy zasadniczej. Określono planowaną minimalną i maksymalną powierzchnię użytkową mieszkań wynoszącą od 13 000 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  <w:lang w:val="pt-PT" w:eastAsia="pt-PT" w:bidi="pt-PT"/>
        </w:rPr>
        <w:t xml:space="preserve"> do </w:t>
      </w:r>
      <w:r>
        <w:rPr>
          <w:color w:val="000000"/>
          <w:szCs w:val="20"/>
          <w:shd w:val="clear" w:color="auto" w:fill="FFFFFF"/>
        </w:rPr>
        <w:t>17 500 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</w:rPr>
        <w:t xml:space="preserve"> oraz planowaną minimalną i maksymalną liczbę mieszkań wynoszącą od 240</w:t>
      </w:r>
      <w:r>
        <w:rPr>
          <w:color w:val="000000"/>
          <w:szCs w:val="20"/>
          <w:shd w:val="clear" w:color="auto" w:fill="FFFFFF"/>
          <w:lang w:val="pt-PT" w:eastAsia="pt-PT" w:bidi="pt-PT"/>
        </w:rPr>
        <w:t xml:space="preserve"> do </w:t>
      </w:r>
      <w:r>
        <w:rPr>
          <w:color w:val="000000"/>
          <w:szCs w:val="20"/>
          <w:shd w:val="clear" w:color="auto" w:fill="FFFFFF"/>
        </w:rPr>
        <w:t>282. Określono zakres inwesty</w:t>
      </w:r>
      <w:r>
        <w:rPr>
          <w:color w:val="000000"/>
          <w:szCs w:val="20"/>
          <w:shd w:val="clear" w:color="auto" w:fill="FFFFFF"/>
        </w:rPr>
        <w:t>cji mieszkaniowej jako wyodrębniona część, przeznaczonej na działalność handlową i usługową o powierzchni wynoszącej nie mniej niż 800 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</w:rPr>
        <w:t xml:space="preserve"> i nie więcej niż 2200 m</w:t>
      </w:r>
      <w:r>
        <w:rPr>
          <w:color w:val="000000"/>
          <w:szCs w:val="20"/>
          <w:shd w:val="clear" w:color="auto" w:fill="FFFFFF"/>
          <w:vertAlign w:val="superscript"/>
        </w:rPr>
        <w:t xml:space="preserve">2 </w:t>
      </w:r>
      <w:r>
        <w:rPr>
          <w:color w:val="000000"/>
          <w:szCs w:val="20"/>
          <w:shd w:val="clear" w:color="auto" w:fill="FFFFFF"/>
        </w:rPr>
        <w:t>oraz określono powierzchnię całkowitą wolnostojącego budynku usługowego stanowiącego inwestyc</w:t>
      </w:r>
      <w:r>
        <w:rPr>
          <w:color w:val="000000"/>
          <w:szCs w:val="20"/>
          <w:shd w:val="clear" w:color="auto" w:fill="FFFFFF"/>
        </w:rPr>
        <w:t>ję towarzyszącą na minimum 120 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</w:rPr>
        <w:t xml:space="preserve"> oraz maksimum 300 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  <w:shd w:val="clear" w:color="auto" w:fill="FFFFFF"/>
        </w:rPr>
        <w:t xml:space="preserve">. Wniosek obejmuje analizę powiązania inwestycji mieszkaniowej z uzbrojeniem terenu oraz ich charakterystykę. Wnioskodawca wskazał nieruchomość, według katastru nieruchomości oraz księgi wieczystej, na </w:t>
      </w:r>
      <w:r>
        <w:rPr>
          <w:color w:val="000000"/>
          <w:szCs w:val="20"/>
          <w:shd w:val="clear" w:color="auto" w:fill="FFFFFF"/>
        </w:rPr>
        <w:t>której mają być zlokalizowane obiekty objęte inwestycją mieszkaniową oraz inwestycją towarzyszącą. Wskazano w jakim zakresie planowana inwestycja nie uwzględnia ustaleń miejscowego planu zagospodarowania przestrzennego, zwanego dalej MPZP lub Planem. Wykaz</w:t>
      </w:r>
      <w:r>
        <w:rPr>
          <w:color w:val="000000"/>
          <w:szCs w:val="20"/>
          <w:shd w:val="clear" w:color="auto" w:fill="FFFFFF"/>
        </w:rPr>
        <w:t xml:space="preserve">ano również, że wniosek jest zgodny ze studium </w:t>
      </w:r>
      <w:r>
        <w:rPr>
          <w:color w:val="000000"/>
          <w:szCs w:val="20"/>
        </w:rPr>
        <w:t>uwarunkowań i kierunków zagospodarowania przestrzennego dla miasta Łodzi, przyjętego uchwałą Nr LXIX/1753/18 Rady Miejskiej w Łodzi z dnia 28 marca 2018 r., zmienioną uchwałami Rady Miejskiej w Łodzi Nr VI/215</w:t>
      </w:r>
      <w:r>
        <w:rPr>
          <w:color w:val="000000"/>
          <w:szCs w:val="20"/>
        </w:rPr>
        <w:t xml:space="preserve">/19 z dnia 6 marca 2019 r. i Nr LII/1605/21 z dnia 22 grudnia 2021 r., zwanego dalej Studium. </w:t>
      </w:r>
      <w:r>
        <w:rPr>
          <w:color w:val="000000"/>
          <w:szCs w:val="20"/>
          <w:shd w:val="clear" w:color="auto" w:fill="FFFFFF"/>
          <w:lang w:val="de-DE" w:eastAsia="de-DE" w:bidi="de-DE"/>
        </w:rPr>
        <w:t>W</w:t>
      </w:r>
      <w:proofErr w:type="spellStart"/>
      <w:r>
        <w:rPr>
          <w:color w:val="000000"/>
          <w:szCs w:val="20"/>
          <w:shd w:val="clear" w:color="auto" w:fill="FFFFFF"/>
        </w:rPr>
        <w:t>ykazano</w:t>
      </w:r>
      <w:proofErr w:type="spellEnd"/>
      <w:r>
        <w:rPr>
          <w:color w:val="000000"/>
          <w:szCs w:val="20"/>
          <w:shd w:val="clear" w:color="auto" w:fill="FFFFFF"/>
        </w:rPr>
        <w:t xml:space="preserve">, że inwestycja mieszkaniowa odpowiada standardom, o których mowa w rozdziale 3 specustawy oraz  lokalnym standardom urbanistycznym. Do wniosku załączono </w:t>
      </w:r>
      <w:r>
        <w:rPr>
          <w:color w:val="000000"/>
          <w:szCs w:val="20"/>
          <w:shd w:val="clear" w:color="auto" w:fill="FFFFFF"/>
        </w:rPr>
        <w:t>koncepcję urbanistyczno-architektoniczną, sporządzoną przez osobę wpisaną na listę izby samorządu zawodowego architektów posiadającą uprawnienia budowlane do projektowania bez ograniczeń w </w:t>
      </w:r>
      <w:r>
        <w:rPr>
          <w:color w:val="000000"/>
          <w:szCs w:val="20"/>
        </w:rPr>
        <w:t xml:space="preserve">specjalności </w:t>
      </w:r>
      <w:r>
        <w:rPr>
          <w:color w:val="000000"/>
          <w:szCs w:val="20"/>
          <w:shd w:val="clear" w:color="auto" w:fill="FFFFFF"/>
        </w:rPr>
        <w:t>architektonicznej oraz inne wymagane oświadczenia i za</w:t>
      </w:r>
      <w:r>
        <w:rPr>
          <w:color w:val="000000"/>
          <w:szCs w:val="20"/>
          <w:shd w:val="clear" w:color="auto" w:fill="FFFFFF"/>
        </w:rPr>
        <w:t xml:space="preserve">świadczenia. Wnioskodawca nie wskazał nieruchomości, </w:t>
      </w:r>
      <w:r>
        <w:rPr>
          <w:color w:val="000000"/>
          <w:szCs w:val="20"/>
          <w:u w:color="000000"/>
        </w:rPr>
        <w:t xml:space="preserve">o której mowa w art. 35 ust. 1 specustawy. Wnioskodawca wskazał nieruchomości o której mowa </w:t>
      </w:r>
      <w:r>
        <w:rPr>
          <w:color w:val="000000"/>
          <w:sz w:val="23"/>
          <w:szCs w:val="20"/>
        </w:rPr>
        <w:t>w art. 38 ust. 1 specustawy.</w:t>
      </w:r>
    </w:p>
    <w:p w:rsidR="00144172" w:rsidRDefault="00AA2506">
      <w:pPr>
        <w:tabs>
          <w:tab w:val="left" w:pos="708"/>
        </w:tabs>
        <w:jc w:val="both"/>
        <w:rPr>
          <w:color w:val="000000"/>
          <w:szCs w:val="20"/>
        </w:rPr>
      </w:pPr>
      <w:r>
        <w:rPr>
          <w:color w:val="000000"/>
          <w:sz w:val="23"/>
          <w:szCs w:val="20"/>
        </w:rPr>
        <w:tab/>
      </w:r>
      <w:r>
        <w:rPr>
          <w:color w:val="000000"/>
          <w:szCs w:val="20"/>
          <w:shd w:val="clear" w:color="auto" w:fill="FFFFFF"/>
        </w:rPr>
        <w:t xml:space="preserve">W dniu 14 listopada 2025 roku wniosek został udostępniony na stronie podmiotowej </w:t>
      </w:r>
      <w:r>
        <w:rPr>
          <w:color w:val="000000"/>
          <w:szCs w:val="20"/>
          <w:shd w:val="clear" w:color="auto" w:fill="FFFFFF"/>
        </w:rPr>
        <w:t xml:space="preserve">Biuletynu Informacji Publicznej wraz z informacją o formie, miejscu i terminie składania uwag. Ponadto w dniu 19 listopada 2025 roku w lokalnej prasie </w:t>
      </w:r>
      <w:r>
        <w:rPr>
          <w:color w:val="000000"/>
          <w:szCs w:val="20"/>
        </w:rPr>
        <w:t>„Łódź.pl” pojawiła się informacja o wpływie przedmiotowego wniosku wraz z informacją o formie, miejscu i </w:t>
      </w:r>
      <w:r>
        <w:rPr>
          <w:color w:val="000000"/>
          <w:szCs w:val="20"/>
        </w:rPr>
        <w:t>terminie składania uwag. Po publikacji w Biuletynie do Biura Architekta Miasta nie trafiły żadne uwagi do planowanej inwestycji.</w:t>
      </w:r>
    </w:p>
    <w:p w:rsidR="00144172" w:rsidRDefault="00AA2506">
      <w:pPr>
        <w:keepLines/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lastRenderedPageBreak/>
        <w:t xml:space="preserve">Pismami z dnia 17 listopada 2025 roku powiadomiono organy opiniujące i uzgadniające, </w:t>
      </w:r>
      <w:r>
        <w:rPr>
          <w:color w:val="000000"/>
          <w:szCs w:val="20"/>
        </w:rPr>
        <w:br/>
        <w:t>o których mowa w art. 7 ust. 12 i 14 spec</w:t>
      </w:r>
      <w:r>
        <w:rPr>
          <w:color w:val="000000"/>
          <w:szCs w:val="20"/>
        </w:rPr>
        <w:t>ustawy, o możliwości przedstawienia stanowiska w sprawie w ciągu 21 dni od daty doręczenia wystąpienia.</w:t>
      </w:r>
    </w:p>
    <w:p w:rsidR="00144172" w:rsidRDefault="00AA2506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Następujące organy opiniujące udzieliły odpowiedzi:</w:t>
      </w:r>
    </w:p>
    <w:p w:rsidR="00144172" w:rsidRDefault="00AA2506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- Miejska Komisja Urbanistyczno-Architektoniczna w Łodzi przekazała uchwałę nr 59/XXII/2025 z dnia 2</w:t>
      </w:r>
      <w:r>
        <w:rPr>
          <w:color w:val="000000"/>
          <w:szCs w:val="20"/>
        </w:rPr>
        <w:t xml:space="preserve">0 listopada 2025 roku wydając opinię pozytywną do projektu; </w:t>
      </w:r>
    </w:p>
    <w:p w:rsidR="00144172" w:rsidRDefault="00AA2506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- Szef Centralnego Wojskowego Centrum Rekrutacji, Szef Ośrodka Zamiejscowego w Łodzi pismem z dnia 26 listopada 2025 r., znak: CWCR_OZ_Łódź-WWiZ.0732.807.2025  poinformował o braku uwag do wniosk</w:t>
      </w:r>
      <w:r>
        <w:rPr>
          <w:color w:val="000000"/>
          <w:szCs w:val="20"/>
        </w:rPr>
        <w:t xml:space="preserve">u; </w:t>
      </w:r>
    </w:p>
    <w:p w:rsidR="00144172" w:rsidRDefault="00AA2506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- Zarząd Województwa Łódzkiego pismem z dnia 1 grudnia 2025 r., pismo znak: BPRWŁ.ZP.405.14.2025 poinformował o pozytywnej opinii dla planowanej inwestycji w zakresie uwzględnienia wyników Audytu Krajobrazowego województwa łódzkiego; </w:t>
      </w:r>
    </w:p>
    <w:p w:rsidR="00144172" w:rsidRDefault="00AA2506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- Łódzki Państwow</w:t>
      </w:r>
      <w:r>
        <w:rPr>
          <w:color w:val="000000"/>
          <w:szCs w:val="20"/>
        </w:rPr>
        <w:t xml:space="preserve">y Wojewódzki Inspektor Sanitarny pismem z dnia 3 grudnia 2025 r., znak: NS OZNS.9022.824.2025.KH poinformował o pozytywnej opinii dla przedmiotowego wniosku. </w:t>
      </w:r>
    </w:p>
    <w:p w:rsidR="00144172" w:rsidRDefault="00AA2506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W ustawowym terminie nie wpłynęły ponadto opinie, właściwe według specustawy dla terenu inwestycj</w:t>
      </w:r>
      <w:r>
        <w:rPr>
          <w:color w:val="000000"/>
          <w:szCs w:val="20"/>
        </w:rPr>
        <w:t xml:space="preserve">i: </w:t>
      </w:r>
    </w:p>
    <w:p w:rsidR="00144172" w:rsidRDefault="00AA25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- Łódzkiego Ośrodka Geodezji, </w:t>
      </w:r>
    </w:p>
    <w:p w:rsidR="00144172" w:rsidRDefault="00AA25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- Komendanta Wojewódzkiej Państwowej Straży Pożarnej w Łodzi, </w:t>
      </w:r>
    </w:p>
    <w:p w:rsidR="00144172" w:rsidRDefault="00AA25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- Agencji Bezpieczeństwa Wewnętrznego/Dyrektora Delegatury w Katowicach, </w:t>
      </w:r>
    </w:p>
    <w:p w:rsidR="00144172" w:rsidRDefault="00AA25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- Komendanta Wojewódzkiego Policji w Łodzi, </w:t>
      </w:r>
    </w:p>
    <w:p w:rsidR="00144172" w:rsidRDefault="00AA25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- Komendanta Nadwiślańskiego Oddziału Straży Granicznej im. Powstania Warszawskiego, </w:t>
      </w:r>
    </w:p>
    <w:p w:rsidR="00144172" w:rsidRDefault="00AA25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- Prezesa Urzędu Lotnictwa Cywilnego, </w:t>
      </w:r>
    </w:p>
    <w:p w:rsidR="00144172" w:rsidRDefault="00AA25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co do których zgodnie z art. 7 ust. 13 specustawy nieprzekazanie opinii w terminie 21 dni od dnia otrzymania powiadomienia uznaje s</w:t>
      </w:r>
      <w:r>
        <w:rPr>
          <w:color w:val="000000"/>
          <w:szCs w:val="20"/>
        </w:rPr>
        <w:t>ię za brak zastrzeżeń.</w:t>
      </w:r>
    </w:p>
    <w:p w:rsidR="00144172" w:rsidRDefault="00AA2506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Organy uzgadniające: </w:t>
      </w:r>
    </w:p>
    <w:p w:rsidR="00144172" w:rsidRDefault="00AA2506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- Zarząd Dróg i Transportu postanowieniem nr ZDiT-UU.40121.3.121.2025 z dnia 4 grudnia 2025 roku uzgodnił przedłożony wniosek o ustalenie lokalizacji inwestycji mieszkaniowej w zakresie, w jakim projektowana inw</w:t>
      </w:r>
      <w:r>
        <w:rPr>
          <w:color w:val="000000"/>
          <w:szCs w:val="20"/>
        </w:rPr>
        <w:t>estycja przebiega przez nieruchomości wchodzące w skład pasa drogowego, przylega do nieruchomości wchodzących w skład pasa drogowego lub powoduje ograniczenia w sposobie zagospodarowania pasa drogowego i akceptuje zaproponowana obsługę komunikacyjną poprze</w:t>
      </w:r>
      <w:r>
        <w:rPr>
          <w:color w:val="000000"/>
          <w:szCs w:val="20"/>
        </w:rPr>
        <w:t xml:space="preserve">z istniejący zjazd z pasa drogowego ul. Żeromskiego oraz przez istniejący i projektowany zjazd z pasa drogowego ul. Gdańskiej zgodnie z załącznikiem graficznym; </w:t>
      </w:r>
    </w:p>
    <w:p w:rsidR="00144172" w:rsidRDefault="00AA2506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- Łódzki Wojewódzki Konserwator Zabytków postanowieniem z dnia 4 grudnia 2025 roku, znak: WUOZ</w:t>
      </w:r>
      <w:r>
        <w:rPr>
          <w:color w:val="000000"/>
          <w:szCs w:val="20"/>
        </w:rPr>
        <w:t xml:space="preserve">-PP.5151.3870.2025.KP uzgodnił przedmiotowy wniosek. </w:t>
      </w:r>
    </w:p>
    <w:p w:rsidR="00144172" w:rsidRDefault="00AA2506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Wydane w sprawie postanowienia i opinie zostały przekazane do wnioskodawcy.</w:t>
      </w:r>
    </w:p>
    <w:p w:rsidR="00144172" w:rsidRDefault="00AA25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Do projektu uchwały, zgodnie z art. 7 ust. 17 specustawy dołączone zostały uzyskane opinie i uzgodnienia. Z ich treści wynika, że podmioty opiniujące lub uzgadniające nie wniosły sprzeciwu wobec planowanej inwestycji. </w:t>
      </w:r>
    </w:p>
    <w:p w:rsidR="00144172" w:rsidRDefault="00AA25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lastRenderedPageBreak/>
        <w:t>Planowany sposób zagospodarowania ter</w:t>
      </w:r>
      <w:r>
        <w:rPr>
          <w:color w:val="000000"/>
          <w:szCs w:val="20"/>
        </w:rPr>
        <w:t>enu obejmuje budowę zespołu czterech budynków mieszkalnych wielorodzinnych (A', B, C i D), w tym trzech z lokalami usługowymi lokalizowanymi w parterach (budynki A', C, D) oraz wolnostojący budynek usługowy (budynek E) w ramach inwestycji towarzyszącej), s</w:t>
      </w:r>
      <w:r>
        <w:rPr>
          <w:color w:val="000000"/>
          <w:szCs w:val="20"/>
        </w:rPr>
        <w:t>tanowiący fragment zachowanej hali szedowej wraz z wieżyczką, która chroniona jest poprzez wpis do gminnej ewidencji zabytków, będąca pozostałością dawnego zespołu Zakładów Mechanicznych i Fabryki Tlenu "Franciszek Wagner i S-ka". Hala ta jest zlokalizowan</w:t>
      </w:r>
      <w:r>
        <w:rPr>
          <w:color w:val="000000"/>
          <w:szCs w:val="20"/>
        </w:rPr>
        <w:t>a w oddaleniu od pierzei ul. Żeromskiego oraz ul. Gdańskiej. Budynek D planuje się o maksymalnej wysokości do 9 kondygnacji, budynki A' oraz B projektuje się o maksymalnej wysokości do 7 kondygnacji, budynek C przewiduje się o maksymalnej wysokości do 8 ko</w:t>
      </w:r>
      <w:r>
        <w:rPr>
          <w:color w:val="000000"/>
          <w:szCs w:val="20"/>
        </w:rPr>
        <w:t>ndygnacji. Budynek E (pozostałości zabytkowego budynku z wieżyczką projektuje się o wysokości do 2 kondygnacji. Pierwszy z budynków mieszkalnych wielorodzinnych z usługami (budynek A') planuje się zlokalizować w pierzei ul. Gdańskiej jako uzupełnienie będą</w:t>
      </w:r>
      <w:r>
        <w:rPr>
          <w:color w:val="000000"/>
          <w:szCs w:val="20"/>
        </w:rPr>
        <w:t>cego w trakcie budowy budynku mieszkalnego przy ul. Gdańskiej 127. Budynek ten kontrastować ma kolorem z budynkiem sąsiednim, jednak docelowo stanowić ma dopełnienie poprzez zastosowanie wycofania wysokości. W głębi działki projektuje się budynek w kształc</w:t>
      </w:r>
      <w:r>
        <w:rPr>
          <w:color w:val="000000"/>
          <w:szCs w:val="20"/>
        </w:rPr>
        <w:t>ie litery L (budynek B), który kontynuować ma pasowy układ budynków, a jego kolorystyka nawiązuje do budynku przy ul. Gdańskiej 127. Budynek ten projektuje się jako wolnostojący budynek mieszkalny wielorodzinny. Trzeci budynek (budynek C) przylegać ma ścia</w:t>
      </w:r>
      <w:r>
        <w:rPr>
          <w:color w:val="000000"/>
          <w:szCs w:val="20"/>
        </w:rPr>
        <w:t>ną południową do zabytkowego budynku Fabryki Maszyn i Odlewni Muller i Seidel. Do budynku planuje się dostawić konstrukcję słupową, która sprawi, że mieszkania będą otoczone przez balkony. Czwarty budynek projektuje się w pierzei ul. Żeromskiego, który zos</w:t>
      </w:r>
      <w:r>
        <w:rPr>
          <w:color w:val="000000"/>
          <w:szCs w:val="20"/>
        </w:rPr>
        <w:t xml:space="preserve">tał zaprojektowany jako wolnostojący obiekt o maksymalnie 9 kondygnacjach. Stanowić ma on bramę na teren inwestycji dzięki dwukondygnacyjnemu rozcięciu bryły. Zaokrąglone narożniki stanowić mają element wspólny z budynkiem od strony ul. Gdańskiej spajając </w:t>
      </w:r>
      <w:r>
        <w:rPr>
          <w:color w:val="000000"/>
          <w:szCs w:val="20"/>
        </w:rPr>
        <w:t>całe założenie. Budynki wewnątrz działki projektuje się o wysokości maksymalnie do 8 kondygnacji nadziemnych. Pomiędzy projektowanymi budynkami opisanymi wyżej, znajduje się hala szedowa, która jest planowana do częściowego zachowania. Dla wymienionych bud</w:t>
      </w:r>
      <w:r>
        <w:rPr>
          <w:color w:val="000000"/>
          <w:szCs w:val="20"/>
        </w:rPr>
        <w:t>ynków projektuje się dwa wielostanowiskowe garaże podziemne na jednej kondygnacji podziemnej, oddzielnie obsługujące budynki C i D oraz budynki A' oraz B. Wjazd do garażu podziemnego obsługującego budynki A' i B projektuje się poprzez rampę zjazdową budynk</w:t>
      </w:r>
      <w:r>
        <w:rPr>
          <w:color w:val="000000"/>
          <w:szCs w:val="20"/>
        </w:rPr>
        <w:t>u A lokalizowanego na podstawie odrębnego opracowania na podstawie służebności przejścia i przejazdu przez działkę nr 256/34 w obrębie P-20. Obsługę komunikacyjną terenu zapewnia się poprzez istniejący zjazd z ul. Żeromskiego oraz pośrednio przez teren inw</w:t>
      </w:r>
      <w:r>
        <w:rPr>
          <w:color w:val="000000"/>
          <w:szCs w:val="20"/>
        </w:rPr>
        <w:t>estycji przy ul. Gdańskiej na podstawie wspomnianej służebności. Obsługę garażu budynków C i D projektuje się poprzez istniejący zjazd z ul. Żeromskiego. Teren inwestycji planuje się jako ogólnodostępny w związku z czym nie przewiduje się jego grodzenia. C</w:t>
      </w:r>
      <w:r>
        <w:rPr>
          <w:color w:val="000000"/>
          <w:szCs w:val="20"/>
        </w:rPr>
        <w:t>iągi komunikacji pieszej zaplanowano tak, aby umożliwić przejście przez teren inwestycji pomiędzy ulicami Żeromskiego i Gdańską. Od strony zachodniej zaprojektowano 3 ciągi piesze, łączące przestrzeń publiczną wewnątrz założenia z ul. Żeromskiego. Przebici</w:t>
      </w:r>
      <w:r>
        <w:rPr>
          <w:color w:val="000000"/>
          <w:szCs w:val="20"/>
        </w:rPr>
        <w:t>a stanowić mają wglądy w pozostawioną część hali szedowej. Każdy z  nich pokazywać ma inny charakter tej przestrzeni. Wejście połączone z wjazdem dla samochodów stanowić będzie wgląd w odrestaurowaną konstrukcję hali z placem zabaw. Wejście środkowe zapras</w:t>
      </w:r>
      <w:r>
        <w:rPr>
          <w:color w:val="000000"/>
          <w:szCs w:val="20"/>
        </w:rPr>
        <w:t>zać ma do wnętrza pokazując usługi zlokalizowane w głębi zespołu, a trzecie wejście ma ukazywać zachowaną południową ścianę hali szedowej, połączoną funkcjonalnie z całym założeniem. Na terenie objętym wnioskiem założono ograniczenie ruchu kołowego do mini</w:t>
      </w:r>
      <w:r>
        <w:rPr>
          <w:color w:val="000000"/>
          <w:szCs w:val="20"/>
        </w:rPr>
        <w:t xml:space="preserve">mum. Wjazdy do opisanych wcześniej garaży zaplanowano w maksymalnym zbliżeniu do ulic, w celu uwolnienia znacznej części terenu od ruchu samochodów. Na obszarze inwestycji planuje się utwardzone ciągi piesze i pieszo-jezdne, place zabaw oraz drogi służące </w:t>
      </w:r>
      <w:r>
        <w:rPr>
          <w:color w:val="000000"/>
          <w:szCs w:val="20"/>
        </w:rPr>
        <w:t xml:space="preserve">obsłudze przeciwpożarowej. Na terenie zachowane zostaną istniejące spadki oraz poziom gruntu. </w:t>
      </w:r>
      <w:r>
        <w:rPr>
          <w:color w:val="000000"/>
          <w:szCs w:val="20"/>
        </w:rPr>
        <w:lastRenderedPageBreak/>
        <w:t>Planuje się wprowadzić w całości założenia rozróżnienie detalu elewacji w celu podkreślenia odniesień do otaczającej zabudowy. W budynkach przewidziano następując</w:t>
      </w:r>
      <w:r>
        <w:rPr>
          <w:color w:val="000000"/>
          <w:szCs w:val="20"/>
        </w:rPr>
        <w:t>e funkcje: parter - jako strefa wejściowa oraz pochylnie prowadzące do garaży podziemnych, lokale usługowe i mieszkalne oraz pomieszczenia techniczne; kondygnacje nadziemne - jako lokale mieszkalne i pomieszczenia techniczne; kondygnacja podziemna - jako g</w:t>
      </w:r>
      <w:r>
        <w:rPr>
          <w:color w:val="000000"/>
          <w:szCs w:val="20"/>
        </w:rPr>
        <w:t>araże wielostanowiskowe z miejscami parkingowymi dostępnymi niezależnie wraz z pomieszczeniami technicznymi. W ramach inwestycji mieszkaniowej oraz inwestycji towarzyszącej, zaprojektowano nowe i zaplanowano do przebudowy następujące sieci: ciepłowniczą, e</w:t>
      </w:r>
      <w:r>
        <w:rPr>
          <w:color w:val="000000"/>
          <w:szCs w:val="20"/>
        </w:rPr>
        <w:t xml:space="preserve">lektroenergetyczną, wodociągową oraz kanalizacyjną. Powierzchnia terenu inwestycji wynosi 15 490 </w:t>
      </w:r>
      <w:r>
        <w:rPr>
          <w:color w:val="000000"/>
          <w:szCs w:val="20"/>
          <w:shd w:val="clear" w:color="auto" w:fill="FFFFFF"/>
        </w:rPr>
        <w:t>m</w:t>
      </w:r>
      <w:r>
        <w:rPr>
          <w:color w:val="000000"/>
          <w:szCs w:val="20"/>
          <w:shd w:val="clear" w:color="auto" w:fill="FFFFFF"/>
          <w:vertAlign w:val="superscript"/>
        </w:rPr>
        <w:t>2</w:t>
      </w:r>
      <w:r>
        <w:rPr>
          <w:color w:val="000000"/>
          <w:szCs w:val="20"/>
        </w:rPr>
        <w:t xml:space="preserve">. Powierzchnia działek należących do Inwestora wynosi 10 845 </w:t>
      </w:r>
      <w:r>
        <w:rPr>
          <w:color w:val="000000"/>
          <w:szCs w:val="20"/>
          <w:u w:color="000000"/>
        </w:rPr>
        <w:t>m</w:t>
      </w:r>
      <w:r>
        <w:rPr>
          <w:color w:val="000000"/>
          <w:szCs w:val="20"/>
          <w:u w:color="000000"/>
          <w:vertAlign w:val="superscript"/>
        </w:rPr>
        <w:t>2</w:t>
      </w:r>
      <w:r>
        <w:rPr>
          <w:color w:val="000000"/>
          <w:szCs w:val="20"/>
          <w:u w:color="000000"/>
        </w:rPr>
        <w:t xml:space="preserve">. </w:t>
      </w:r>
      <w:r>
        <w:rPr>
          <w:color w:val="000000"/>
          <w:szCs w:val="20"/>
        </w:rPr>
        <w:t>Powierzchnia zabudowy wynosi</w:t>
      </w:r>
      <w:r>
        <w:rPr>
          <w:color w:val="000000"/>
          <w:szCs w:val="20"/>
          <w:u w:color="000000"/>
        </w:rPr>
        <w:t xml:space="preserve"> do 5 650 m</w:t>
      </w:r>
      <w:r>
        <w:rPr>
          <w:color w:val="000000"/>
          <w:szCs w:val="20"/>
          <w:u w:color="000000"/>
          <w:vertAlign w:val="superscript"/>
        </w:rPr>
        <w:t>2</w:t>
      </w:r>
      <w:r>
        <w:rPr>
          <w:color w:val="000000"/>
          <w:szCs w:val="20"/>
          <w:u w:color="000000"/>
        </w:rPr>
        <w:t>, co stanowi do 52% powierzchni działek Inwestora</w:t>
      </w:r>
      <w:r>
        <w:rPr>
          <w:color w:val="000000"/>
          <w:szCs w:val="20"/>
        </w:rPr>
        <w:t>. P</w:t>
      </w:r>
      <w:r>
        <w:rPr>
          <w:color w:val="000000"/>
          <w:szCs w:val="20"/>
        </w:rPr>
        <w:t>owierzchnia zabudowy budynku usługowego stanowiącego inwestycję towarzyszącą - minimalnie</w:t>
      </w:r>
      <w:r>
        <w:rPr>
          <w:color w:val="000000"/>
          <w:szCs w:val="20"/>
          <w:u w:color="000000"/>
        </w:rPr>
        <w:t xml:space="preserve"> 120 m</w:t>
      </w:r>
      <w:r>
        <w:rPr>
          <w:color w:val="000000"/>
          <w:szCs w:val="20"/>
          <w:u w:color="000000"/>
          <w:vertAlign w:val="superscript"/>
        </w:rPr>
        <w:t>2</w:t>
      </w:r>
      <w:r>
        <w:rPr>
          <w:color w:val="000000"/>
          <w:szCs w:val="20"/>
          <w:u w:color="000000"/>
        </w:rPr>
        <w:t>, a maksymalnie 300 m</w:t>
      </w:r>
      <w:r>
        <w:rPr>
          <w:color w:val="000000"/>
          <w:szCs w:val="20"/>
          <w:u w:color="000000"/>
          <w:vertAlign w:val="superscript"/>
        </w:rPr>
        <w:t>2</w:t>
      </w:r>
      <w:r>
        <w:rPr>
          <w:color w:val="000000"/>
          <w:szCs w:val="20"/>
          <w:u w:color="000000"/>
        </w:rPr>
        <w:t xml:space="preserve">, co stanowi 3% powierzchni działek Inwestora. </w:t>
      </w:r>
      <w:r>
        <w:rPr>
          <w:color w:val="000000"/>
          <w:szCs w:val="20"/>
        </w:rPr>
        <w:t>Powierzchnie utwardzone na działkach, na których realizowana będzie inwestycja mieszkaniowa</w:t>
      </w:r>
      <w:r>
        <w:rPr>
          <w:color w:val="000000"/>
          <w:szCs w:val="20"/>
        </w:rPr>
        <w:t xml:space="preserve"> określono na maksimum 5 420</w:t>
      </w:r>
      <w:r>
        <w:rPr>
          <w:color w:val="000000"/>
          <w:szCs w:val="20"/>
          <w:u w:color="000000"/>
        </w:rPr>
        <w:t xml:space="preserve"> m</w:t>
      </w:r>
      <w:r>
        <w:rPr>
          <w:color w:val="000000"/>
          <w:szCs w:val="20"/>
          <w:u w:color="000000"/>
          <w:vertAlign w:val="superscript"/>
        </w:rPr>
        <w:t xml:space="preserve">2, </w:t>
      </w:r>
      <w:r>
        <w:rPr>
          <w:color w:val="000000"/>
          <w:szCs w:val="20"/>
          <w:u w:color="000000"/>
        </w:rPr>
        <w:t xml:space="preserve">co stanowi do 50% powierzchni działek Inwestora. </w:t>
      </w:r>
      <w:r>
        <w:rPr>
          <w:color w:val="000000"/>
          <w:szCs w:val="20"/>
        </w:rPr>
        <w:t>Projektowana powierzchnia  biologicznie czynna określona została na minimum 2 170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,</w:t>
      </w:r>
      <w:r>
        <w:rPr>
          <w:color w:val="000000"/>
          <w:szCs w:val="20"/>
          <w:vertAlign w:val="superscript"/>
        </w:rPr>
        <w:t xml:space="preserve"> </w:t>
      </w:r>
      <w:r>
        <w:rPr>
          <w:color w:val="000000"/>
          <w:szCs w:val="20"/>
        </w:rPr>
        <w:t>co stanowi wskaźnik nie mniejszy niż 20% powierzchni działek Inwestora. Projektowana ilo</w:t>
      </w:r>
      <w:r>
        <w:rPr>
          <w:color w:val="000000"/>
          <w:szCs w:val="20"/>
        </w:rPr>
        <w:t xml:space="preserve">ść mieszkań w bryle projektowanych budynków wynosi od 240 do 282. </w:t>
      </w:r>
    </w:p>
    <w:p w:rsidR="00144172" w:rsidRDefault="00AA25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Projektowane założenie podzielone zostało na dwa etapy. Pierwszy z nich przewiduje realizację budynków A' i B zlokalizowanych od strony wschodniej (ul. Gdańskiej). Dodatkowo w etapie I prze</w:t>
      </w:r>
      <w:r>
        <w:rPr>
          <w:color w:val="000000"/>
          <w:szCs w:val="20"/>
        </w:rPr>
        <w:t>widuje się budowę placu zabaw obsługującego projektowane budynki, który planuje się zlokalizować w południowo-zachodnim narożniku etapu I. Etap II przewiduje realizację budynków C, D i E w zachodniej części terenu opracowania. Etap ten zakłada również prze</w:t>
      </w:r>
      <w:r>
        <w:rPr>
          <w:color w:val="000000"/>
          <w:szCs w:val="20"/>
        </w:rPr>
        <w:t xml:space="preserve">budowę budynku hali szedowej oraz realizację budynku usługowego E. </w:t>
      </w:r>
    </w:p>
    <w:p w:rsidR="00144172" w:rsidRDefault="00AA25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Wnioskodawca złożył oświadczenie, o którym mowa w art. 7 ust. 8 pkt 2 specustawy, że nie zachodzi kolizja lokalizacji inwestycji mieszkaniowej z inwestycjami, o których mowa </w:t>
      </w:r>
      <w:r>
        <w:rPr>
          <w:color w:val="000000"/>
          <w:szCs w:val="20"/>
        </w:rPr>
        <w:br/>
        <w:t xml:space="preserve">w art. 4 pkt </w:t>
      </w:r>
      <w:r>
        <w:rPr>
          <w:color w:val="000000"/>
          <w:szCs w:val="20"/>
        </w:rPr>
        <w:t xml:space="preserve">1-13 specustawy i które mają ustawowe pierwszeństwo przed inwestycjami mieszkaniowymi. </w:t>
      </w:r>
    </w:p>
    <w:p w:rsidR="00144172" w:rsidRDefault="00AA25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Planowana inwestycja objęta jest zapisami uchwały Nr VI/213/19 Rady Miejskiej w Łodzi z dnia 6 marca 2019 r. w sprawie uchwalenia miejscowego planu zagospodarowania prz</w:t>
      </w:r>
      <w:r>
        <w:rPr>
          <w:color w:val="000000"/>
          <w:szCs w:val="20"/>
        </w:rPr>
        <w:t xml:space="preserve">estrzennego dla części obszaru miasta Łodzi położonej w rejonie alei: Adama Mickiewicza i Tadeusza Kościuszki i ulic: Łąkowej, Marii Skłodowskiej-Curie, Stefana Żeromskiego, Andrzeja Struga, Gdańskiej, Mikołaja Kopernika i Wólczańskiej. Zgodnie z zapisami </w:t>
      </w:r>
      <w:r>
        <w:rPr>
          <w:color w:val="000000"/>
          <w:szCs w:val="20"/>
        </w:rPr>
        <w:t xml:space="preserve">MPZP działka 256/33 obręb P-20 należy do terenu oznaczonego na rysunku planu symbolem 10.5.MW/U. Natomiast działki 256/35 i 256/25 obręb P-20 należą do terenu oznaczonego na rysunku planu symbolem 10.7.U.  </w:t>
      </w:r>
    </w:p>
    <w:p w:rsidR="00144172" w:rsidRDefault="00AA25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Z porównania charakterystycznych parametrów proje</w:t>
      </w:r>
      <w:r>
        <w:rPr>
          <w:color w:val="000000"/>
          <w:szCs w:val="20"/>
        </w:rPr>
        <w:t xml:space="preserve">ktowanej inwestycji z ustaleniami Planu wynika niezgodność inwestycji z  jego wymogami, w zakresie przedstawionym poniżej: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 xml:space="preserve">dla terenów oznaczonych na rysunku planu symbolem 10.5.MW/U: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1) linie zabudowy: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a) w Planie: linia zabudowy obowiązująca, rodzaj</w:t>
      </w:r>
      <w:r>
        <w:rPr>
          <w:color w:val="000000"/>
          <w:szCs w:val="20"/>
        </w:rPr>
        <w:t xml:space="preserve"> linii nieprzekraczalnej wzdłuż której obowiązuje sytuowanie minimum 70% powierzchni ściany frontowej budynku, nakaz sytuowania zabudowy zgodnie z liniami zabudowy;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b) w koncepcji: budynek przy ul. Żeromskiego nie uwzględnia ustaleń Planu, wypełnia on ob</w:t>
      </w:r>
      <w:r>
        <w:rPr>
          <w:color w:val="000000"/>
          <w:szCs w:val="20"/>
        </w:rPr>
        <w:t xml:space="preserve">owiązującą linię zabudowy jedynie w 40%, dodatkowo w południowej części </w:t>
      </w:r>
      <w:r>
        <w:rPr>
          <w:color w:val="000000"/>
          <w:szCs w:val="20"/>
        </w:rPr>
        <w:lastRenderedPageBreak/>
        <w:t xml:space="preserve">zachodniej granicy obszaru nie jest on zgodny z przebiegiem linii obowiązującej oraz nieprzekraczalnej;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2) budynek wpisany do gminnej ewidencji zabytków: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a) w Planie: nakaz trwałego</w:t>
      </w:r>
      <w:r>
        <w:rPr>
          <w:color w:val="000000"/>
          <w:szCs w:val="20"/>
        </w:rPr>
        <w:t xml:space="preserve"> zachowania zabytków zgodnie z przepisami odrębnymi z zakresu ochrony zabytków;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 xml:space="preserve">b) w koncepcji: zakłada się zachowanie około 50% hali szedowej wpisanej do GEZ respektując wszelkie warunki opisane w wytycznych od WUOZ;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3) wysokość budynków: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a) w Planie</w:t>
      </w:r>
      <w:r>
        <w:rPr>
          <w:color w:val="000000"/>
          <w:szCs w:val="20"/>
        </w:rPr>
        <w:t>: wysokość zabudowy frontowej - minimum 12 m, maksimum 23 m, powyżej elewacji frontowej dopuszczenie realizacji wyłącznie dachu lub kondygnacji wycofanej o minimum 1,5 m od lica elewacji, z zachowaniem różnicy maksimum 5 m pomiędzy wysokością elewacji fron</w:t>
      </w:r>
      <w:r>
        <w:rPr>
          <w:color w:val="000000"/>
          <w:szCs w:val="20"/>
        </w:rPr>
        <w:t xml:space="preserve">towej, a wysokością zabudowy frontowej, wysokość zabudowy innej niż frontowa - maksimum 12 m z zastrzeżeniem terenu 10.5.MW/U, dla którego maksimum to 18 m;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b) zabudowa frontowa została zaprojektowana jako zróżnicowana wysokościowo, pierwszy uskok wysoko</w:t>
      </w:r>
      <w:r>
        <w:rPr>
          <w:color w:val="000000"/>
          <w:szCs w:val="20"/>
        </w:rPr>
        <w:t xml:space="preserve">ści to 16,5 m, następnie około 20 m z przewyższeniem do maksymalnie 30 m, projektowane wysokości przekraczają ustalenia Planu dla tego obszaru;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 xml:space="preserve">dla terenów oznaczonych na rysunku planu symbolem 10.7.U: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1) przeznaczenie zabudowy: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</w:r>
      <w:r>
        <w:rPr>
          <w:color w:val="000000"/>
          <w:szCs w:val="20"/>
        </w:rPr>
        <w:t xml:space="preserve">a) w Planie: przeznaczenie podstawowe - tereny zabudowy usługowej, przeznaczenie uzupełniające - garaże nadziemne i podziemne, infrastruktura techniczna;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b) w koncepcji: projektowany budynek A' oraz fragment budynku B znajdują nie uwzględniają ustaleń Pl</w:t>
      </w:r>
      <w:r>
        <w:rPr>
          <w:color w:val="000000"/>
          <w:szCs w:val="20"/>
        </w:rPr>
        <w:t xml:space="preserve">anu, projektowane budynki to zabudowa mieszkaniowa wielorodzinna;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2) wysokość zabudowy: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a) w Planie: szerokość pasa terenu, w którym obowiązują ustalenia dla zabudowy frontowej - 18 m od linii elewacji frontowej, wysokość zabudowy frontowej - minimum 12</w:t>
      </w:r>
      <w:r>
        <w:rPr>
          <w:color w:val="000000"/>
          <w:szCs w:val="20"/>
        </w:rPr>
        <w:t xml:space="preserve"> m, maksimum 23 m, przy zachowaniu wysokości elewacji frontowej min. 12 m i maks. 18 m z zastrzeżeniem, że strefy wysokości zabudowy oznaczonej na rysunku symbolem "SWZ 22", dla której wysokość zabudowy frontowej wynosi min. 21 m i maks. 27 m, przy zachowa</w:t>
      </w:r>
      <w:r>
        <w:rPr>
          <w:color w:val="000000"/>
          <w:szCs w:val="20"/>
        </w:rPr>
        <w:t xml:space="preserve">niu wysokości elewacji frontowej - min. 21 m i maks. 22 m;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 xml:space="preserve">b) projektowany budynek frontowy od strony ul. Gdańskiej nie uwzględnia ustaleń Planu w zakresie wysokości w strefie "SWZ 22".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 xml:space="preserve">Zgodnie z art. 5 ust. 3 specustawy, </w:t>
      </w:r>
      <w:r>
        <w:rPr>
          <w:color w:val="000000"/>
          <w:sz w:val="23"/>
          <w:szCs w:val="20"/>
        </w:rPr>
        <w:t xml:space="preserve">w związku z art. 70 ust. 2 </w:t>
      </w:r>
      <w:r>
        <w:rPr>
          <w:color w:val="000000"/>
          <w:sz w:val="23"/>
          <w:szCs w:val="20"/>
        </w:rPr>
        <w:t>ustawy z dnia 7 lipca 2023 r. o zmianie ustawy o planowaniu i zagospodarowaniu przestrzennym oraz niektórych innych ustaw (Dz. U. poz. 1688, z późn. zm.),</w:t>
      </w:r>
      <w:r>
        <w:rPr>
          <w:color w:val="000000"/>
          <w:szCs w:val="20"/>
        </w:rPr>
        <w:t xml:space="preserve"> inwestycje mieszkaniowe lub inwestycje towarzyszące realizuje się niezależnie od istnienia lub ustale</w:t>
      </w:r>
      <w:r>
        <w:rPr>
          <w:color w:val="000000"/>
          <w:szCs w:val="20"/>
        </w:rPr>
        <w:t xml:space="preserve">ń miejscowego planu zagospodarowania przestrzennego pod warunkiem, że nie są sprzeczne ze Studium oraz uchwałą o utworzeniu parku kulturowego.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Z ustaleń Studium wynika, że lokalizacja wnioskowanej inwestycji mieszkaniowej znajduje się w jednostce planis</w:t>
      </w:r>
      <w:r>
        <w:rPr>
          <w:color w:val="000000"/>
          <w:szCs w:val="20"/>
        </w:rPr>
        <w:t xml:space="preserve">tycznej oznaczonej jako W3b - strefa wielkomiejska, jednostka funkcjonalno-przestrzenna: wielofunkcyjne kwartały śródmiejskie III. </w:t>
      </w:r>
      <w:r>
        <w:rPr>
          <w:color w:val="000000"/>
          <w:szCs w:val="20"/>
          <w:shd w:val="clear" w:color="auto" w:fill="FFFFFF"/>
        </w:rPr>
        <w:t>Przedłożony projekt inwestycji jest zgodny ze Studium w zakresie: głównych celów polityki przestrzennej, przeznaczenia terenu</w:t>
      </w:r>
      <w:r>
        <w:rPr>
          <w:color w:val="000000"/>
          <w:szCs w:val="20"/>
          <w:shd w:val="clear" w:color="auto" w:fill="FFFFFF"/>
        </w:rPr>
        <w:t xml:space="preserve">, struktury przestrzennej, kształtowania zieleni, wskaźników </w:t>
      </w:r>
      <w:r>
        <w:rPr>
          <w:color w:val="000000"/>
          <w:szCs w:val="20"/>
          <w:shd w:val="clear" w:color="auto" w:fill="FFFFFF"/>
        </w:rPr>
        <w:lastRenderedPageBreak/>
        <w:t xml:space="preserve">zagospodarowania, wysokości zabudowy oraz spełnia założenia związane z działaniami operacyjnymi, polityką parkingową oraz komunikacją. </w:t>
      </w:r>
      <w:r>
        <w:rPr>
          <w:color w:val="000000"/>
          <w:szCs w:val="20"/>
        </w:rPr>
        <w:t>Planowany sposób zagospodarowania jest jednak zgodny z główn</w:t>
      </w:r>
      <w:r>
        <w:rPr>
          <w:color w:val="000000"/>
          <w:szCs w:val="20"/>
        </w:rPr>
        <w:t>ymi celami polityki przestrzennej, poprzez zwiększanie atrakcyjności inwestycyjnej miasta oraz podnoszenie jakości życia mieszkańców miasta i regionu. Ponadto wpisuje się w założenia struktury przestrzennej. Wniosek jest również zgodny z założeniami polity</w:t>
      </w:r>
      <w:r>
        <w:rPr>
          <w:color w:val="000000"/>
          <w:szCs w:val="20"/>
        </w:rPr>
        <w:t>ki przestrzennej dzięki przeprowadzeniu przekształceń funkcjonalnych mających na celu harmonijne włączenie obszarów w strukturę miasta i mieszanie oraz dodawanie funkcji umożliwiające funkcjonowanie w cyklu dobowym. Dla inwestycji jest zapewniony dostęp do</w:t>
      </w:r>
      <w:r>
        <w:rPr>
          <w:color w:val="000000"/>
          <w:szCs w:val="20"/>
        </w:rPr>
        <w:t xml:space="preserve"> komunikacji zbiorowej w formie czytelnych i bezpiecznych dojść do przystanków i węzłów przesiadkowych, infrastruktury rowerowej oraz przestrzeni wspólnych. Przedmiotowy wniosek jest zgodny z polityką kształtowania zieleni. Zgodnie z planowanym sposobem za</w:t>
      </w:r>
      <w:r>
        <w:rPr>
          <w:color w:val="000000"/>
          <w:szCs w:val="20"/>
        </w:rPr>
        <w:t>gospodarowania terenu inwestycji spełniony zostaje wskaźnik powierzchni biologicznie czynnej tj. minimum 5% (przewiduje się minimum 20% powierzchni biologicznie czynnej na terenie objętym inwestycją mieszkaniową). W Studium wskazano maksymalna intensywność</w:t>
      </w:r>
      <w:r>
        <w:rPr>
          <w:color w:val="000000"/>
          <w:szCs w:val="20"/>
        </w:rPr>
        <w:t xml:space="preserve"> zabudowy 2,5 brutto dla całego terenu W3b. Inwestor wskazuje we wniosku, że wskaźnik ten przed realizacją wynosi 1,20 oraz po realizacji projektowanych budynków wyniesie 1,38 brutto dla całości terenu. W Studium określono maksymalną wysokość zabudowy z do</w:t>
      </w:r>
      <w:r>
        <w:rPr>
          <w:color w:val="000000"/>
          <w:szCs w:val="20"/>
        </w:rPr>
        <w:t>puszczeniem przewyższeń uzasadnionych kompozycyjnie tj. nie wyżej niż 30m. Projektowane budynki planuje się o maksymalnej wysokości 30 m dla zabudowy frontowej oraz maksymalnie 27 m dla pozostałej zabudowy. Budynek usługowy w ramach inwestycji towarzyszące</w:t>
      </w:r>
      <w:r>
        <w:rPr>
          <w:color w:val="000000"/>
          <w:szCs w:val="20"/>
        </w:rPr>
        <w:t>j projektuje się o maksymalnej wysokości 13 m. Teren inwestycji znajduje się w zakresie Strefy A wyznaczonej w ramach Lokalnych Standardów Urbanistycznych dla Łodzi, gdzie dopuszcza się realizację budynków o maksymalnie 14 kondygnacjach nadziemnych. Strefa</w:t>
      </w:r>
      <w:r>
        <w:rPr>
          <w:color w:val="000000"/>
          <w:szCs w:val="20"/>
        </w:rPr>
        <w:t xml:space="preserve"> A stanowi zbiór terenów stanowiących bezpośrednią obudowę głównej arterii miasta jaką jest al. Mickiewicza, gdzie dopuszcza się przewyższenia projektowanej zabudowy. W związku z tym proponowane w ramach inwestycji przewyższenia wpisują się w strategię mia</w:t>
      </w:r>
      <w:r>
        <w:rPr>
          <w:color w:val="000000"/>
          <w:szCs w:val="20"/>
        </w:rPr>
        <w:t xml:space="preserve">sta dotyczące wysokości budynków w tym terenie. Wniosek spełnia także wymagania Studium w założeniach polityki parkingowej zakładającej zapotrzebowanie na miejsca parkingowe dla nowej zabudowy.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Wniosek inwestora spełnia standardy lokalizacji i realizacji </w:t>
      </w:r>
      <w:r>
        <w:rPr>
          <w:color w:val="000000"/>
          <w:szCs w:val="20"/>
        </w:rPr>
        <w:t>inwestycji mieszkaniowych określonych w rozdziale 3 specustawy w następujący sposób: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1) zgodnie z art. 17 ust. 1 specustawy:</w:t>
      </w:r>
    </w:p>
    <w:p w:rsidR="00144172" w:rsidRDefault="00AA2506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a) inwestycja ma zapewniony bezpośredni dostęp do drogi publicznej z ul. Żeromskiego oraz pośredni dostęp z ul. Gdańskiej zgodnie z</w:t>
      </w:r>
      <w:r>
        <w:rPr>
          <w:color w:val="000000"/>
          <w:szCs w:val="20"/>
        </w:rPr>
        <w:t xml:space="preserve"> oświadczeniem dotyczącym służebności przejścia i przejazdu; </w:t>
      </w:r>
    </w:p>
    <w:p w:rsidR="00144172" w:rsidRDefault="00AA2506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b) inwestycja ma zapewniony dostęp do sieci wodociągowej i kanalizacyjnej - zgodnie z pismami z Zakładu Wodociągów i Kanalizacji Sp. z o. o.: IT.424.2938.2024.EC, IT.424.57.2025.SZ, IT.424.421.2</w:t>
      </w:r>
      <w:r>
        <w:rPr>
          <w:color w:val="000000"/>
          <w:szCs w:val="20"/>
        </w:rPr>
        <w:t xml:space="preserve">025.SZ, IT.424.429.2025.WZ, IT.424.1630.2025.SZ, IT.424.1624.2025.SZ, IT.424.1736.2025.MP3 lub warunków zamiennych; </w:t>
      </w:r>
    </w:p>
    <w:p w:rsidR="00144172" w:rsidRDefault="00AA2506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c) inwestycja ma zapewniony dostęp do sieci elektroenergetycznej - na podstawie wydanej promesy potwierdzającej możliwość dostawy energii e</w:t>
      </w:r>
      <w:r>
        <w:rPr>
          <w:color w:val="000000"/>
          <w:szCs w:val="20"/>
        </w:rPr>
        <w:t xml:space="preserve">lektrycznej dla przedmiotowego obiektu przez PGE Dystrybucja S.A. dnia 19.11.2024 r. i 02.01.2025 r. nr: 24-D7/WZD/00585/PGED1140195KW24, 25-D7/WZD/00001/JW; </w:t>
      </w:r>
    </w:p>
    <w:p w:rsidR="00144172" w:rsidRDefault="00AA2506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2) zgodnie z art. 17 ust. 2 w związku z art 19 specustawy i uchwałą Nr LXXVI/2076/18 Rady Miejski</w:t>
      </w:r>
      <w:r>
        <w:rPr>
          <w:color w:val="000000"/>
          <w:szCs w:val="20"/>
        </w:rPr>
        <w:t xml:space="preserve">ej w Łodzi z dnia 10 października 2018 r. w sprawie lokalnych standardów </w:t>
      </w:r>
      <w:r>
        <w:rPr>
          <w:color w:val="000000"/>
          <w:szCs w:val="20"/>
          <w:u w:color="000000"/>
        </w:rPr>
        <w:t>urbanistycznych dla Miasta Łodzi (Dz. Urz. Woj. Łódzkiego poz. 5644), zmienionej uchwałami Rady Miejskiej w Łodzi: Nr III/59/18 z dnia 27 grudnia 2018 r. (Dz. Urz. Woj. Łódzkiego z 20</w:t>
      </w:r>
      <w:r>
        <w:rPr>
          <w:color w:val="000000"/>
          <w:szCs w:val="20"/>
          <w:u w:color="000000"/>
        </w:rPr>
        <w:t xml:space="preserve">19 r. poz. 348), Nr XXXIII/1093/20 z dnia 2 grudnia 2020 r. (Dz. Urz. Woj. </w:t>
      </w:r>
      <w:r>
        <w:rPr>
          <w:color w:val="000000"/>
          <w:szCs w:val="20"/>
          <w:u w:color="000000"/>
        </w:rPr>
        <w:lastRenderedPageBreak/>
        <w:t xml:space="preserve">Łódzkiego poz. 7200), Nr LX/1810/22 z dnia 1 czerwca 2022 r. (Dz. Urz. Woj. Łódzkiego poz. 3675), Nr LXXIII/2191/23 z dnia 15 marca 2023 r. (Dz. Urz. Woj. Łódzkiego poz. 4066) i Nr </w:t>
      </w:r>
      <w:r>
        <w:rPr>
          <w:color w:val="000000"/>
          <w:szCs w:val="20"/>
          <w:u w:color="000000"/>
        </w:rPr>
        <w:t xml:space="preserve">LXXXVI/2076/24 z dnia 17 stycznia 2024 r. (Dz. Urz. Woj. Łódzkiego poz. 1102), </w:t>
      </w:r>
      <w:r>
        <w:rPr>
          <w:color w:val="000000"/>
          <w:szCs w:val="20"/>
        </w:rPr>
        <w:t>zwanych lokalnymi standardami urbanistycznymi: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a) inwestycja mieszkaniowa zlokalizowana jest w odległości dojścia nie większej niż 500 m od istniejącego przystanku publicznego t</w:t>
      </w:r>
      <w:r>
        <w:rPr>
          <w:color w:val="000000"/>
          <w:szCs w:val="20"/>
        </w:rPr>
        <w:t xml:space="preserve">ransportu zbiorowego - odległość przystanku komunikacji miejskiej to 240 m (przystanek </w:t>
      </w:r>
      <w:proofErr w:type="spellStart"/>
      <w:r>
        <w:rPr>
          <w:color w:val="000000"/>
          <w:szCs w:val="20"/>
        </w:rPr>
        <w:t>Żeromskiego-Mickiewicza</w:t>
      </w:r>
      <w:proofErr w:type="spellEnd"/>
      <w:r>
        <w:rPr>
          <w:color w:val="000000"/>
          <w:szCs w:val="20"/>
        </w:rPr>
        <w:t xml:space="preserve">);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b) inwestycja mieszkaniowa zlokalizowana jest w odległości nie większej niż 1000 m od szkoły podstawowej, która jest w stanie przyjąć nowych u</w:t>
      </w:r>
      <w:r>
        <w:rPr>
          <w:color w:val="000000"/>
          <w:szCs w:val="20"/>
        </w:rPr>
        <w:t>czniów w liczbie dzieci stanowiącej nie mniej niż 7% planowanych mieszkańców inwestycji mieszkaniowej - odległość dojścia do Szkoły Podstawowej nr 160 w Łodzi przy ul. Andrzeja Struga 24a wynosi 750 m, co spełnia wymagane warunki i zostało potwierdzone zaś</w:t>
      </w:r>
      <w:r>
        <w:rPr>
          <w:color w:val="000000"/>
          <w:szCs w:val="20"/>
        </w:rPr>
        <w:t xml:space="preserve">wiadczeniem nr DEP-Ed-I.0124.19.2025 z dnia 05 września 2025 r.;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c) wysokość budynków wynosząca do 30 m, obejmująca do 9 kondygnacji nadziemnych, co spełnia warunki określające maksymalną liczbę kondygnacji o której mowa w Lokalnych Standardach Urbanistyc</w:t>
      </w:r>
      <w:r>
        <w:rPr>
          <w:color w:val="000000"/>
          <w:szCs w:val="20"/>
        </w:rPr>
        <w:t xml:space="preserve">znych, które dopuszczają do 14 kondygnacji nadziemnych;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3) zgodnie z art. 17 ust. 4 w związku z art. 19 specustawy i lokalnymi standardami urbanistycznymi - inwestycja zlokalizowana jest w odległości mniejszej niż 1000 m od urządzonego terenu wypoczynku o</w:t>
      </w:r>
      <w:r>
        <w:rPr>
          <w:color w:val="000000"/>
          <w:szCs w:val="20"/>
        </w:rPr>
        <w:t>raz rekreacji lub sportu wskazanych w uchwale i o powierzchni większej niż stanowi iloczyn planowanej liczby mieszkańców - 650 osób oraz wskaźnika wynoszącego 4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na mieszkańca (minimalna powierzchnia parku 2 600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) - w odległości około 500 m znajduje si</w:t>
      </w:r>
      <w:r>
        <w:rPr>
          <w:color w:val="000000"/>
          <w:szCs w:val="20"/>
        </w:rPr>
        <w:t>ę Park im. ks. J. Poniatowskiego o powierzchni około 380 000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, co spełnia warunki;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4) zgodnie z art. 17 ust. 4d pkt. 1 specustawy planowana inwestycja musi zapewniać udział powierzchni terenu biologicznie czynnego wynoszącego co najmniej 12,5% powierzch</w:t>
      </w:r>
      <w:r>
        <w:rPr>
          <w:color w:val="000000"/>
          <w:szCs w:val="20"/>
        </w:rPr>
        <w:t xml:space="preserve">ni terenu inwestycji mieszkaniowej - planowana minimalna powierzchnia biologicznie czynna to 20% powierzchni inwestycji mieszkaniowej, co spełnia wymagania;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5) zgodnie z art. 19 ust. 3 specustawy i lokalnymi standardami urbanistycznymi:</w:t>
      </w:r>
    </w:p>
    <w:p w:rsidR="00144172" w:rsidRDefault="00AA2506">
      <w:pPr>
        <w:spacing w:before="120" w:after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a) inwestycja ma z</w:t>
      </w:r>
      <w:r>
        <w:rPr>
          <w:color w:val="000000"/>
          <w:szCs w:val="20"/>
        </w:rPr>
        <w:t xml:space="preserve">apewniony dostęp do sieci ciepłowniczej na podstawie zamiennych warunków przyłączeniowe potwierdzające możliwość podłączenia do Ciepła Systemowego nr 4/25 przez Veolia Energia Łódź S.A.: 3/25, 4/25 lub warunków zamiennych;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b) zapewniono niezbędną minimaln</w:t>
      </w:r>
      <w:r>
        <w:rPr>
          <w:color w:val="000000"/>
          <w:szCs w:val="20"/>
        </w:rPr>
        <w:t>ą liczbę miejsc parkingowych dla obsługi inwestycji, równą liczbie mieszkań (zgodnie z wnioskiem inwestora), niezbędną minimalną liczbę miejsc parkingowych dla obsługi wolnostojącego budynku usługowego w ramach inwestycji towarzyszącej, równą wskaźnikowi 2</w:t>
      </w:r>
      <w:r>
        <w:rPr>
          <w:color w:val="000000"/>
          <w:szCs w:val="20"/>
        </w:rPr>
        <w:t xml:space="preserve"> miejsc parkingowych na każde rozpoczęte 100 m</w:t>
      </w:r>
      <w:r>
        <w:rPr>
          <w:color w:val="000000"/>
          <w:szCs w:val="20"/>
          <w:vertAlign w:val="superscript"/>
        </w:rPr>
        <w:t xml:space="preserve">2 </w:t>
      </w:r>
      <w:r>
        <w:rPr>
          <w:color w:val="000000"/>
          <w:szCs w:val="20"/>
        </w:rPr>
        <w:t>powierzchni całkowitej obiektu oraz 1,5 miejsca parkingowego na każde rozpoczęte 100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powierzchni całkowitej dla usług w obiekcie stanowiących inwestycję mieszkaniową, tj. przy maksymalnej liczbie mieszkań </w:t>
      </w:r>
      <w:r>
        <w:rPr>
          <w:color w:val="000000"/>
          <w:szCs w:val="20"/>
        </w:rPr>
        <w:t>wynoszącej 282, maksymalnej powierzchni całkowitej dla wolnostojącego budynku usługowego w ramach inwestycji towarzyszącej wynoszącej 300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oraz dla usług w obiekcie stanowiącym inwestycję mieszkaniową  wynoszącej maksymalnie 2200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, łączna liczba miejsc</w:t>
      </w:r>
      <w:r>
        <w:rPr>
          <w:color w:val="000000"/>
          <w:szCs w:val="20"/>
        </w:rPr>
        <w:t xml:space="preserve"> parkingowych dla planowanej inwestycji wynosi 321.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Projektowana inwestycja mieszkaniowa nie została zlokalizowana na terenach podlegających ochronie przed lokalizowaniem lub zabudową na podstawie odrębnych przepisów, a także w granicach otulin form ochr</w:t>
      </w:r>
      <w:r>
        <w:rPr>
          <w:color w:val="000000"/>
          <w:szCs w:val="20"/>
        </w:rPr>
        <w:t xml:space="preserve">ony przyrody, rodzinnych ogrodów działkowych czy obszaru szczególnego zagrożenia powodzią, zgodnie z art. 5 ust. 1 i 2 </w:t>
      </w:r>
      <w:r>
        <w:rPr>
          <w:color w:val="000000"/>
          <w:szCs w:val="20"/>
        </w:rPr>
        <w:lastRenderedPageBreak/>
        <w:t xml:space="preserve">specustawy. </w:t>
      </w:r>
      <w:r>
        <w:rPr>
          <w:color w:val="000000"/>
          <w:sz w:val="23"/>
          <w:szCs w:val="20"/>
        </w:rPr>
        <w:t xml:space="preserve">Projektowana inwestycja nie jest zlokalizowana w odległościach, o których mowa </w:t>
      </w:r>
      <w:r>
        <w:rPr>
          <w:color w:val="000000"/>
          <w:sz w:val="23"/>
          <w:szCs w:val="20"/>
        </w:rPr>
        <w:br/>
        <w:t xml:space="preserve">w art. 5 ust. 3a specustawy. </w:t>
      </w:r>
    </w:p>
    <w:p w:rsidR="00144172" w:rsidRDefault="00AA25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Przy podejmowaniu niniejszej uchwały Rada Miejska w Łodzi brała pod uwagę stan zaspokojenia potrzeb mieszkaniowych na terenie gminy oraz potrzeby i możliwości rozwoju gminy wynikające z ustaleń studium uwarunkowań i kierunków zagospodarowania przestrzenneg</w:t>
      </w:r>
      <w:r>
        <w:rPr>
          <w:color w:val="000000"/>
          <w:szCs w:val="20"/>
        </w:rPr>
        <w:t xml:space="preserve">o gminy i sporządzonym na jego podstawie miejscowym planie zagospodarowania przestrzennego. </w:t>
      </w:r>
    </w:p>
    <w:p w:rsidR="00144172" w:rsidRDefault="00AA25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  <w:u w:color="000000"/>
        </w:rPr>
      </w:pPr>
      <w:r>
        <w:rPr>
          <w:color w:val="000000"/>
          <w:szCs w:val="20"/>
        </w:rPr>
        <w:t xml:space="preserve">Z uwagi na uzyskane pozytywne opinie oraz uzgodnienia </w:t>
      </w:r>
      <w:r>
        <w:rPr>
          <w:color w:val="000000"/>
          <w:szCs w:val="20"/>
        </w:rPr>
        <w:t>organów i instytucji opiniujących oraz uzgadniających wniosek oraz brak uwag do wniosku publikowanego na stronie podmiotowej Biuletynu Informacji Publicznej Urzędu Miasta Łodzi, uznaje się za zasadne podjęcie uchwały o ustaleniu lokalizacji inwestycji mies</w:t>
      </w:r>
      <w:r>
        <w:rPr>
          <w:color w:val="000000"/>
          <w:szCs w:val="20"/>
        </w:rPr>
        <w:t xml:space="preserve">zkaniowej i inwestycji towarzyszącej zgodnie z parametrami i warunkami określonymi wnioskiem. </w:t>
      </w:r>
    </w:p>
    <w:sectPr w:rsidR="00144172">
      <w:footerReference w:type="default" r:id="rId21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506" w:rsidRDefault="00AA2506">
      <w:r>
        <w:separator/>
      </w:r>
    </w:p>
  </w:endnote>
  <w:endnote w:type="continuationSeparator" w:id="0">
    <w:p w:rsidR="00AA2506" w:rsidRDefault="00AA2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144172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44172" w:rsidRDefault="00AA250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44172" w:rsidRDefault="00AA25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F7308E">
            <w:rPr>
              <w:sz w:val="18"/>
            </w:rPr>
            <w:fldChar w:fldCharType="separate"/>
          </w:r>
          <w:r w:rsidR="00F7308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144172" w:rsidRDefault="00144172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144172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44172" w:rsidRDefault="00AA250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44172" w:rsidRDefault="00AA25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F7308E">
            <w:rPr>
              <w:sz w:val="18"/>
            </w:rPr>
            <w:fldChar w:fldCharType="separate"/>
          </w:r>
          <w:r w:rsidR="00F7308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144172" w:rsidRDefault="00144172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144172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44172" w:rsidRDefault="00AA250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44172" w:rsidRDefault="00AA25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F7308E">
            <w:rPr>
              <w:sz w:val="18"/>
            </w:rPr>
            <w:fldChar w:fldCharType="separate"/>
          </w:r>
          <w:r w:rsidR="00F7308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144172" w:rsidRDefault="00144172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144172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44172" w:rsidRDefault="00AA250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44172" w:rsidRDefault="00AA25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F7308E">
            <w:rPr>
              <w:sz w:val="18"/>
            </w:rPr>
            <w:fldChar w:fldCharType="separate"/>
          </w:r>
          <w:r w:rsidR="00F7308E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:rsidR="00144172" w:rsidRDefault="00144172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506" w:rsidRDefault="00AA2506">
      <w:r>
        <w:separator/>
      </w:r>
    </w:p>
  </w:footnote>
  <w:footnote w:type="continuationSeparator" w:id="0">
    <w:p w:rsidR="00AA2506" w:rsidRDefault="00AA25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144172"/>
    <w:rsid w:val="00A77B3E"/>
    <w:rsid w:val="00AA2506"/>
    <w:rsid w:val="00CA2A55"/>
    <w:rsid w:val="00F7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1E40DA"/>
  <w15:docId w15:val="{F0363F05-3A16-4F74-99D1-1593D62D1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FB5616D7-7732-49B5-83A1-823DC298105B.png" TargetMode="Externa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ZalacznikC21488D0-107C-4545-B91B-4B60CF210BE5.png" TargetMode="External"/><Relationship Id="rId17" Type="http://schemas.openxmlformats.org/officeDocument/2006/relationships/image" Target="Zalacznik49616D4D-2F92-438E-98C0-959E74125648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Zalacznik9A2F8A34-08D3-4355-B6EC-5627A92792E6.png" TargetMode="External"/><Relationship Id="rId23" Type="http://schemas.openxmlformats.org/officeDocument/2006/relationships/theme" Target="theme/theme1.xml"/><Relationship Id="rId10" Type="http://schemas.openxmlformats.org/officeDocument/2006/relationships/image" Target="ZalacznikBCC417D4-68B2-4F82-ACD1-B906D18E5825.png" TargetMode="External"/><Relationship Id="rId19" Type="http://schemas.openxmlformats.org/officeDocument/2006/relationships/image" Target="ZalacznikAEB689DA-64B8-4B6D-981E-33ED44B483A9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5891</Words>
  <Characters>35348</Characters>
  <Application>Microsoft Office Word</Application>
  <DocSecurity>0</DocSecurity>
  <Lines>294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41157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i inwestycji towarzyszącej przy ulicach Żeromskiego 94a oraz Gdańskiej 127 i 129 w Łodzi.</dc:subject>
  <dc:creator>tforysiak</dc:creator>
  <cp:lastModifiedBy>Tomasz Forysiak</cp:lastModifiedBy>
  <cp:revision>2</cp:revision>
  <dcterms:created xsi:type="dcterms:W3CDTF">2026-01-05T11:28:00Z</dcterms:created>
  <dcterms:modified xsi:type="dcterms:W3CDTF">2026-01-05T10:30:00Z</dcterms:modified>
  <cp:category>Akt prawny</cp:category>
</cp:coreProperties>
</file>