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F97D4A">
      <w:pPr>
        <w:ind w:left="6236"/>
        <w:jc w:val="left"/>
      </w:pPr>
      <w:r>
        <w:t>Druk Nr</w:t>
      </w:r>
      <w:r w:rsidR="00C015B4">
        <w:t xml:space="preserve"> 8/2026</w:t>
      </w:r>
    </w:p>
    <w:p w:rsidR="00A77B3E" w:rsidRDefault="00F97D4A">
      <w:pPr>
        <w:ind w:left="6236"/>
        <w:jc w:val="left"/>
      </w:pPr>
      <w:r>
        <w:t>Projekt z dnia</w:t>
      </w:r>
      <w:r w:rsidR="00C015B4">
        <w:t xml:space="preserve"> 2.01.2026</w:t>
      </w:r>
      <w:bookmarkStart w:id="0" w:name="_GoBack"/>
      <w:bookmarkEnd w:id="0"/>
    </w:p>
    <w:p w:rsidR="00A77B3E" w:rsidRDefault="00A77B3E">
      <w:pPr>
        <w:ind w:left="6236"/>
        <w:jc w:val="left"/>
      </w:pPr>
    </w:p>
    <w:p w:rsidR="00A77B3E" w:rsidRDefault="00F97D4A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F97D4A">
      <w:pPr>
        <w:spacing w:before="240"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F97D4A">
      <w:pPr>
        <w:keepNext/>
        <w:spacing w:after="480"/>
      </w:pPr>
      <w:r>
        <w:rPr>
          <w:b/>
        </w:rPr>
        <w:t xml:space="preserve">w sprawie odmowy ustalenia lokalizacji inwestycji mieszkaniowej i inwestycji towarzyszącej przy ulicach Żeromskiego 94a oraz Gdańskiej </w:t>
      </w:r>
      <w:r>
        <w:rPr>
          <w:b/>
        </w:rPr>
        <w:t>127 i 129 w Łodzi.</w:t>
      </w:r>
    </w:p>
    <w:p w:rsidR="00A77B3E" w:rsidRDefault="00F97D4A">
      <w:pPr>
        <w:keepLines/>
        <w:spacing w:before="120" w:after="120"/>
        <w:ind w:firstLine="567"/>
        <w:jc w:val="both"/>
      </w:pPr>
      <w:r>
        <w:t>Na podstawie art. 18 ust. 2 pkt 15 ustawy z dnia 8 marca 1990 r. o samorządzie gminnym (Dz. U. z 2025 r. poz. 1153 i 1436) oraz art. 7 ust. 4 ustawy z dnia 5 lipca 2018 r. o ułatwieniach w przygotowaniu i realizacji inwestycji mieszkanio</w:t>
      </w:r>
      <w:r>
        <w:t>wych oraz inwestycji towarzyszących (Dz. U. z 2025 r. poz. 1754), Rada Miejska w Łodzi</w:t>
      </w:r>
    </w:p>
    <w:p w:rsidR="00A77B3E" w:rsidRDefault="00F97D4A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F97D4A">
      <w:pPr>
        <w:keepLines/>
        <w:spacing w:before="240" w:after="120"/>
        <w:ind w:firstLine="567"/>
        <w:jc w:val="both"/>
      </w:pPr>
      <w:r>
        <w:t>§ 1. </w:t>
      </w:r>
      <w:r>
        <w:t>Odmawia się wnioskodawcy BL Development sp. z o.o. sp.k. z siedzibą w Łodzi ustalenia lokalizacji inwestycji mieszkaniowej polegającej na bud</w:t>
      </w:r>
      <w:r>
        <w:t>owie zespołu budynków mieszkalnych wielorodzinnych, w tym trzech z częścią usługową na działkach nr 256/25 i 256/35 w obrębie P-20 oraz na części działki nr 256/33 w obrębie P-20 oraz inwestycji towarzyszącej polegającej na przebudowie sieci i instalacji p</w:t>
      </w:r>
      <w:r>
        <w:t>odziemnych, budowie projektowanych przyłączy na działkach nr: 189/13, 189/6 i 256/34 oraz na części działek nr 189/11 i 265/27 w obrębie P-20 oraz przebudowie wraz ze zmianą sposobu użytkowania na funkcję usługową budynku hali szedowej dawnych Zakładów Mec</w:t>
      </w:r>
      <w:r>
        <w:t>hanicznych Fabryki Tlenu Franciszka Wagnera i S-ki na części działki nr 256/33 w obrębie P-20, przy ulicach Żeromskiego 94a oraz Gdańskiej 127 i 129 w Łodzi.</w:t>
      </w:r>
    </w:p>
    <w:p w:rsidR="00A77B3E" w:rsidRDefault="00F97D4A">
      <w:pPr>
        <w:keepLines/>
        <w:spacing w:before="240" w:after="120"/>
        <w:ind w:firstLine="567"/>
        <w:jc w:val="both"/>
      </w:pPr>
      <w:r>
        <w:t>§ 2. </w:t>
      </w:r>
      <w:r>
        <w:t>Zgodnie z art. 15 ustawy z dnia 5 lipca 2018 r. o ułatwieniach w przygotowaniu</w:t>
      </w:r>
      <w:r>
        <w:br/>
        <w:t>i realizacji i</w:t>
      </w:r>
      <w:r>
        <w:t>nwestycji mieszkaniowych oraz inwestycji towarzyszących, skarga na uchwałę</w:t>
      </w:r>
      <w:r>
        <w:br/>
        <w:t>w trybie art. 101 ustawy z dnia 8 marca 1990 r. o samorządzie gminnym, może być wniesiona w terminie 30 dni od dnia doręczenia tej uchwały inwestorowi.</w:t>
      </w:r>
    </w:p>
    <w:p w:rsidR="00A77B3E" w:rsidRDefault="00F97D4A">
      <w:pPr>
        <w:keepLines/>
        <w:spacing w:before="240" w:after="120"/>
        <w:ind w:firstLine="567"/>
        <w:jc w:val="both"/>
      </w:pPr>
      <w:r>
        <w:t>§ 3. </w:t>
      </w:r>
      <w:r>
        <w:t>Wykonanie uchwały powier</w:t>
      </w:r>
      <w:r>
        <w:t>za się Prezydentowi Miasta Łodzi.</w:t>
      </w:r>
    </w:p>
    <w:p w:rsidR="00A77B3E" w:rsidRDefault="00F97D4A">
      <w:pPr>
        <w:keepNext/>
        <w:keepLines/>
        <w:spacing w:before="240" w:after="120"/>
        <w:ind w:firstLine="567"/>
        <w:jc w:val="both"/>
      </w:pPr>
      <w:r>
        <w:t>§ 4. </w:t>
      </w:r>
      <w: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124D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4DE" w:rsidRDefault="009124DE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4DE" w:rsidRDefault="00F97D4A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F97D4A">
      <w:pPr>
        <w:ind w:left="283" w:firstLine="227"/>
        <w:jc w:val="both"/>
      </w:pPr>
      <w:r>
        <w:t>Projektodawcą jest</w:t>
      </w:r>
    </w:p>
    <w:p w:rsidR="00A77B3E" w:rsidRDefault="00F97D4A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9124DE" w:rsidRDefault="00F97D4A">
      <w:pPr>
        <w:spacing w:before="120" w:after="120"/>
        <w:rPr>
          <w:color w:val="000000"/>
          <w:szCs w:val="20"/>
        </w:rPr>
      </w:pPr>
      <w:r>
        <w:rPr>
          <w:b/>
          <w:color w:val="000000"/>
          <w:szCs w:val="20"/>
        </w:rPr>
        <w:lastRenderedPageBreak/>
        <w:t>Uzasadnienie</w:t>
      </w:r>
    </w:p>
    <w:p w:rsidR="009124DE" w:rsidRDefault="00F97D4A">
      <w:pPr>
        <w:tabs>
          <w:tab w:val="left" w:pos="708"/>
        </w:tabs>
        <w:jc w:val="both"/>
        <w:rPr>
          <w:szCs w:val="20"/>
        </w:rPr>
      </w:pPr>
      <w:r>
        <w:rPr>
          <w:color w:val="000000"/>
          <w:szCs w:val="20"/>
        </w:rPr>
        <w:tab/>
        <w:t>Inwestor BL Development sp. z o.o. sp.k. pismem z dnia 07.11.2025 r. (data wpływu do BAr: 10.11.2025 r.) wraz ze sprostowaniem z dnia 12.11.2025 r. wystąpił do Rady Miejskiej w Łodzi, za pośrednictwem Prezyd</w:t>
      </w:r>
      <w:r>
        <w:rPr>
          <w:color w:val="000000"/>
          <w:szCs w:val="20"/>
        </w:rPr>
        <w:t>enta Miasta Łodzi - Biura Architekta Miasta w Departamencie Planowania i Rozwoju Gospodarczego Urzędu Miasta Łodzi, na podstawie ustawy z dnia 5 lipca 2018 r. o ułatwieniach w przygotowaniu i realizacji inwestycji mieszkaniowych i inwestycji towarzyszących</w:t>
      </w:r>
      <w:r>
        <w:rPr>
          <w:color w:val="000000"/>
          <w:szCs w:val="20"/>
        </w:rPr>
        <w:t xml:space="preserve"> (Dz. U. z 2025 r. poz. 1754), zwanej dalej specustawą, o ustalenie lokalizacji inwestycji mieszkaniowej polegającej na budowie zespołu budynków mieszkalnych wielorodzinnych, w tym trzech z częścią usługową </w:t>
      </w:r>
      <w:r>
        <w:rPr>
          <w:szCs w:val="20"/>
        </w:rPr>
        <w:t>na działkach nr 256/25 i 256/35 w obrębie P-20 or</w:t>
      </w:r>
      <w:r>
        <w:rPr>
          <w:szCs w:val="20"/>
        </w:rPr>
        <w:t>az na części działki nr 256/33 w obrębie P-20 oraz inwestycji towarzyszącej polegającej na przebudowie sieci i instalacji podziemnych, budowie projektowanych przyłączy na działkach nr 189/13, 189/6, 256/34 oraz na części działek nr 189/11 i 265/27 w obrębi</w:t>
      </w:r>
      <w:r>
        <w:rPr>
          <w:szCs w:val="20"/>
        </w:rPr>
        <w:t>e P-20 oraz przebudowie wraz ze zmianą sposobu użytkowania na funkcję usługową budynku hali szedowej dawnych Zakładów Mechanicznych Fabryki Tlenu Franciszka Wagnera i S-ki na części działki nr 256/33 w obrębie P-20 przy ulicach Żeromskiego 94a oraz Gdański</w:t>
      </w:r>
      <w:r>
        <w:rPr>
          <w:szCs w:val="20"/>
        </w:rPr>
        <w:t xml:space="preserve">ej 127 i 129 w Łodzi. </w:t>
      </w:r>
    </w:p>
    <w:p w:rsidR="009124DE" w:rsidRDefault="00F97D4A">
      <w:pPr>
        <w:tabs>
          <w:tab w:val="left" w:pos="708"/>
        </w:tabs>
        <w:jc w:val="both"/>
        <w:rPr>
          <w:color w:val="000000"/>
          <w:sz w:val="23"/>
          <w:szCs w:val="20"/>
        </w:rPr>
      </w:pPr>
      <w:r>
        <w:rPr>
          <w:szCs w:val="20"/>
        </w:rPr>
        <w:tab/>
      </w:r>
      <w:r>
        <w:rPr>
          <w:color w:val="000000"/>
          <w:szCs w:val="20"/>
          <w:shd w:val="clear" w:color="auto" w:fill="FFFFFF"/>
        </w:rPr>
        <w:t>Po weryfikacji wniosku stwierdzono, że spełnia wymogi dotyczące kompletności wniosku określone w art. 7 ust. 7 specustawy. We wniosku określono granice terenu objętego wnioskiem, przedstawiając je na kopii mapy zasadniczej. Określon</w:t>
      </w:r>
      <w:r>
        <w:rPr>
          <w:color w:val="000000"/>
          <w:szCs w:val="20"/>
          <w:shd w:val="clear" w:color="auto" w:fill="FFFFFF"/>
        </w:rPr>
        <w:t>o planowaną minimalną i maksymalną powierzchnię użytkową mieszkań wynoszącą od 13 000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  <w:lang w:val="pt-PT" w:eastAsia="pt-PT" w:bidi="pt-PT"/>
        </w:rPr>
        <w:t xml:space="preserve"> do </w:t>
      </w:r>
      <w:r>
        <w:rPr>
          <w:color w:val="000000"/>
          <w:szCs w:val="20"/>
          <w:shd w:val="clear" w:color="auto" w:fill="FFFFFF"/>
        </w:rPr>
        <w:t>17 500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 xml:space="preserve"> oraz planowaną minimalną i maksymalną liczbę mieszkań wynoszącą od 240</w:t>
      </w:r>
      <w:r>
        <w:rPr>
          <w:color w:val="000000"/>
          <w:szCs w:val="20"/>
          <w:shd w:val="clear" w:color="auto" w:fill="FFFFFF"/>
          <w:lang w:val="pt-PT" w:eastAsia="pt-PT" w:bidi="pt-PT"/>
        </w:rPr>
        <w:t xml:space="preserve"> do </w:t>
      </w:r>
      <w:r>
        <w:rPr>
          <w:color w:val="000000"/>
          <w:szCs w:val="20"/>
          <w:shd w:val="clear" w:color="auto" w:fill="FFFFFF"/>
        </w:rPr>
        <w:t xml:space="preserve">282. Określono zakres inwestycji mieszkaniowej jako wyodrębniona część, </w:t>
      </w:r>
      <w:r>
        <w:rPr>
          <w:color w:val="000000"/>
          <w:szCs w:val="20"/>
          <w:shd w:val="clear" w:color="auto" w:fill="FFFFFF"/>
        </w:rPr>
        <w:t>przeznaczonej na działalność handlową i usługową o powierzchni wynoszącej nie mniej niż 800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 xml:space="preserve"> i nie więcej niż 2200 m</w:t>
      </w:r>
      <w:r>
        <w:rPr>
          <w:color w:val="000000"/>
          <w:szCs w:val="20"/>
          <w:shd w:val="clear" w:color="auto" w:fill="FFFFFF"/>
          <w:vertAlign w:val="superscript"/>
        </w:rPr>
        <w:t xml:space="preserve">2 </w:t>
      </w:r>
      <w:r>
        <w:rPr>
          <w:color w:val="000000"/>
          <w:szCs w:val="20"/>
          <w:shd w:val="clear" w:color="auto" w:fill="FFFFFF"/>
        </w:rPr>
        <w:t>oraz określono powierzchnię całkowitą wolnostojącego budynku usługowego stanowiącego inwestycję towarzyszącą na minimum 120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 xml:space="preserve"> oraz maks</w:t>
      </w:r>
      <w:r>
        <w:rPr>
          <w:color w:val="000000"/>
          <w:szCs w:val="20"/>
          <w:shd w:val="clear" w:color="auto" w:fill="FFFFFF"/>
        </w:rPr>
        <w:t>imum 300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>. Wniosek obejmuje analizę powiązania inwestycji mieszkaniowej z uzbrojeniem terenu oraz ich charakterystykę. Wnioskodawca wskazał nieruchomość, według katastru nieruchomości oraz księgi wieczystej, na której mają być zlokalizowane obiekty objęt</w:t>
      </w:r>
      <w:r>
        <w:rPr>
          <w:color w:val="000000"/>
          <w:szCs w:val="20"/>
          <w:shd w:val="clear" w:color="auto" w:fill="FFFFFF"/>
        </w:rPr>
        <w:t>e inwestycją mieszkaniową oraz inwestycją towarzyszącą. Wskazano w jakim zakresie planowana inwestycja nie uwzględnia ustaleń miejscowego planu zagospodarowania przestrzennego, zwanego dalej MPZP lub Planem. Wykazano również, że wniosek jest zgodny ze stud</w:t>
      </w:r>
      <w:r>
        <w:rPr>
          <w:color w:val="000000"/>
          <w:szCs w:val="20"/>
          <w:shd w:val="clear" w:color="auto" w:fill="FFFFFF"/>
        </w:rPr>
        <w:t xml:space="preserve">ium </w:t>
      </w:r>
      <w:r>
        <w:rPr>
          <w:color w:val="000000"/>
          <w:szCs w:val="20"/>
        </w:rPr>
        <w:t>uwarunkowań i kierunków zagospodarowania przestrzennego dla miasta Łodzi, przyjętego uchwałą Nr LXIX/1753/18 Rady Miejskiej w Łodzi z dnia 28 marca 2018 r., zmienioną uchwałami Rady Miejskiej w Łodzi Nr VI/215/19 z dnia 6 marca 2019 r. i Nr LII/1605/21</w:t>
      </w:r>
      <w:r>
        <w:rPr>
          <w:color w:val="000000"/>
          <w:szCs w:val="20"/>
        </w:rPr>
        <w:t xml:space="preserve"> z dnia 22 grudnia 2021 r., zwanego dalej Studium. </w:t>
      </w:r>
      <w:r>
        <w:rPr>
          <w:color w:val="000000"/>
          <w:szCs w:val="20"/>
          <w:shd w:val="clear" w:color="auto" w:fill="FFFFFF"/>
          <w:lang w:val="de-DE" w:eastAsia="de-DE" w:bidi="de-DE"/>
        </w:rPr>
        <w:t>W</w:t>
      </w:r>
      <w:proofErr w:type="spellStart"/>
      <w:r>
        <w:rPr>
          <w:color w:val="000000"/>
          <w:szCs w:val="20"/>
          <w:shd w:val="clear" w:color="auto" w:fill="FFFFFF"/>
        </w:rPr>
        <w:t>ykazano</w:t>
      </w:r>
      <w:proofErr w:type="spellEnd"/>
      <w:r>
        <w:rPr>
          <w:color w:val="000000"/>
          <w:szCs w:val="20"/>
          <w:shd w:val="clear" w:color="auto" w:fill="FFFFFF"/>
        </w:rPr>
        <w:t>, że inwestycja mieszkaniowa odpowiada standardom, o których mowa w rozdziale 3 specustawy oraz  lokalnym standardom urbanistycznym. Do wniosku załączono koncepcję urbanistyczno-architektoniczną, s</w:t>
      </w:r>
      <w:r>
        <w:rPr>
          <w:color w:val="000000"/>
          <w:szCs w:val="20"/>
          <w:shd w:val="clear" w:color="auto" w:fill="FFFFFF"/>
        </w:rPr>
        <w:t>porządzoną przez osobę wpisaną na listę izby samorządu zawodowego architektów posiadającą uprawnienia budowlane do projektowania bez ograniczeń w </w:t>
      </w:r>
      <w:r>
        <w:rPr>
          <w:color w:val="000000"/>
          <w:szCs w:val="20"/>
        </w:rPr>
        <w:t xml:space="preserve">specjalności </w:t>
      </w:r>
      <w:r>
        <w:rPr>
          <w:color w:val="000000"/>
          <w:szCs w:val="20"/>
          <w:shd w:val="clear" w:color="auto" w:fill="FFFFFF"/>
        </w:rPr>
        <w:t>architektonicznej oraz inne wymagane oświadczenia i zaświadczenia. Wnioskodawca nie wskazał nieru</w:t>
      </w:r>
      <w:r>
        <w:rPr>
          <w:color w:val="000000"/>
          <w:szCs w:val="20"/>
          <w:shd w:val="clear" w:color="auto" w:fill="FFFFFF"/>
        </w:rPr>
        <w:t xml:space="preserve">chomości, </w:t>
      </w:r>
      <w:r>
        <w:rPr>
          <w:color w:val="000000"/>
          <w:szCs w:val="20"/>
          <w:u w:color="000000"/>
        </w:rPr>
        <w:t xml:space="preserve">o której mowa w art. 35 ust. 1 specustawy. Wnioskodawca wskazał nieruchomości o której mowa </w:t>
      </w:r>
      <w:r>
        <w:rPr>
          <w:color w:val="000000"/>
          <w:sz w:val="23"/>
          <w:szCs w:val="20"/>
        </w:rPr>
        <w:t>w art. 38 ust. 1 specustawy.</w:t>
      </w:r>
    </w:p>
    <w:p w:rsidR="009124DE" w:rsidRDefault="00F97D4A">
      <w:pPr>
        <w:tabs>
          <w:tab w:val="left" w:pos="708"/>
        </w:tabs>
        <w:jc w:val="both"/>
        <w:rPr>
          <w:color w:val="000000"/>
          <w:szCs w:val="20"/>
        </w:rPr>
      </w:pPr>
      <w:r>
        <w:rPr>
          <w:color w:val="000000"/>
          <w:sz w:val="23"/>
          <w:szCs w:val="20"/>
        </w:rPr>
        <w:tab/>
      </w:r>
      <w:r>
        <w:rPr>
          <w:color w:val="000000"/>
          <w:szCs w:val="20"/>
          <w:shd w:val="clear" w:color="auto" w:fill="FFFFFF"/>
        </w:rPr>
        <w:t>W dniu 14 listopada 2025 roku wniosek został udostępniony na stronie podmiotowej Biuletynu Informacji Publicznej wraz z info</w:t>
      </w:r>
      <w:r>
        <w:rPr>
          <w:color w:val="000000"/>
          <w:szCs w:val="20"/>
          <w:shd w:val="clear" w:color="auto" w:fill="FFFFFF"/>
        </w:rPr>
        <w:t xml:space="preserve">rmacją o formie, miejscu i terminie składania uwag. Ponadto w dniu 19 listopada 2025 roku w lokalnej prasie </w:t>
      </w:r>
      <w:r>
        <w:rPr>
          <w:color w:val="000000"/>
          <w:szCs w:val="20"/>
        </w:rPr>
        <w:t>„Łódź.pl” pojawiła się informacja o wpływie przedmiotowego wniosku wraz z informacją o formie, miejscu i terminie składania uwag. Po publikacji w Bi</w:t>
      </w:r>
      <w:r>
        <w:rPr>
          <w:color w:val="000000"/>
          <w:szCs w:val="20"/>
        </w:rPr>
        <w:t>uletynie do Biura Architekta Miasta nie trafiły żadne uwagi do planowanej inwestycji.</w:t>
      </w:r>
    </w:p>
    <w:p w:rsidR="009124DE" w:rsidRDefault="00F97D4A">
      <w:pPr>
        <w:keepLines/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Pismami z dnia 17 listopada 2025 roku powiadomiono organy opiniujące i uzgadniające, </w:t>
      </w:r>
      <w:r>
        <w:rPr>
          <w:color w:val="000000"/>
          <w:szCs w:val="20"/>
        </w:rPr>
        <w:br/>
        <w:t>o których mowa w art. 7 ust. 12 i 14 specustawy, o możliwości przedstawienia stanowi</w:t>
      </w:r>
      <w:r>
        <w:rPr>
          <w:color w:val="000000"/>
          <w:szCs w:val="20"/>
        </w:rPr>
        <w:t>ska w sprawie w ciągu 21 dni od daty doręczenia wystąpienia.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Następujące organy opiniujące udzieliły odpowiedzi: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- Miejska Komisja Urbanistyczno-Architektoniczna w Łodzi przekazała uchwałę nr 59/XXII/2025 z dnia 20 listopada 2025 roku wydając opinię pozyty</w:t>
      </w:r>
      <w:r>
        <w:rPr>
          <w:color w:val="000000"/>
          <w:szCs w:val="20"/>
        </w:rPr>
        <w:t xml:space="preserve">wną do projektu;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Szef Centralnego Wojskowego Centrum Rekrutacji, Szef Ośrodka Zamiejscowego w Łodzi pismem z dnia 26 listopada 2025 r., znak: CWCR_OZ_Łódź-WWiZ.0732.807.2025  poinformował o braku uwag do wniosku;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- Zarząd Województwa Łódzkiego pismem z</w:t>
      </w:r>
      <w:r>
        <w:rPr>
          <w:color w:val="000000"/>
          <w:szCs w:val="20"/>
        </w:rPr>
        <w:t xml:space="preserve"> dnia 1 grudnia 2025 r., pismo znak: BPRWŁ.ZP.405.14.2025 poinformował o pozytywnej opinii dla planowanej inwestycji w zakresie uwzględnienia wyników Audytu Krajobrazowego województwa łódzkiego;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Łódzki Państwowy Wojewódzki Inspektor Sanitarny pismem z dnia 3 grudnia 2025 r., znak: NS OZNS.9022.824.2025.KH poinformował o pozytywnej opinii dla przedmiotowego wniosku.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W ustawowym terminie nie wpłynęły ponadto opinie, właściwe według specustawy dla</w:t>
      </w:r>
      <w:r>
        <w:rPr>
          <w:color w:val="000000"/>
          <w:szCs w:val="20"/>
        </w:rPr>
        <w:t xml:space="preserve"> terenu inwestycji: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Łódzkiego Ośrodka Geodezji,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Komendanta Wojewódzkiej Państwowej Straży Pożarnej w Łodzi,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Agencji Bezpieczeństwa Wewnętrznego/Dyrektora Delegatury w Katowicach,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Komendanta Wojewódzkiego Policji w Łodzi,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- Komendanta Nadwiślań</w:t>
      </w:r>
      <w:r>
        <w:rPr>
          <w:color w:val="000000"/>
          <w:szCs w:val="20"/>
        </w:rPr>
        <w:t xml:space="preserve">skiego Oddziału Straży Granicznej im. Powstania Warszawskiego,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Prezesa Urzędu Lotnictwa Cywilnego,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co do których zgodnie z art. 7 ust. 13 specustawy nieprzekazanie opinii w terminie 21 dni od dnia otrzymania powiadomienia uznaje się za brak zastrzeżeń.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Organy uzgadniające: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- Zarząd Dróg i Transportu postanowieniem nr ZDiT-UU.40121.3.121.2025 z dnia 4 grudnia 2025 roku uzgodnił przedłożony wniosek o ustalenie lokalizacji inwestycji mieszkaniowej w zakresie, w jakim projektowana inwestycja przebiega prze</w:t>
      </w:r>
      <w:r>
        <w:rPr>
          <w:color w:val="000000"/>
          <w:szCs w:val="20"/>
        </w:rPr>
        <w:t>z nieruchomości wchodzące w skład pasa drogowego, przylega do nieruchomości wchodzących w skład pasa drogowego lub powoduje ograniczenia w sposobie zagospodarowania pasa drogowego i akceptuje zaproponowana obsługę komunikacyjną poprzez istniejący zjazd z p</w:t>
      </w:r>
      <w:r>
        <w:rPr>
          <w:color w:val="000000"/>
          <w:szCs w:val="20"/>
        </w:rPr>
        <w:t xml:space="preserve">asa drogowego ul. Żeromskiego oraz przez istniejący i projektowany zjazd z pasa drogowego ul. Gdańskiej zgodnie z załącznikiem graficznym;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Łódzki Wojewódzki Konserwator Zabytków postanowieniem z dnia 4 grudnia 2025 roku, znak: WUOZ-PP.5151.3870.2025.KP </w:t>
      </w:r>
      <w:r>
        <w:rPr>
          <w:color w:val="000000"/>
          <w:szCs w:val="20"/>
        </w:rPr>
        <w:t xml:space="preserve">uzgodnił przedmiotowy wniosek.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Wydane w sprawie postanowienia i opinie zostały przekazane do wnioskodawcy.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Do projektu uchwały, zgodnie z art. 7 ust. 17 specustawy dołączone zostały uzyskane opinie i uzgodnienia. Z ich treści wynika, że podmioty opiniujące lub uzgadniające nie wniosły sprzeciwu wobec planowanej inwestycji.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lastRenderedPageBreak/>
        <w:t>Planowany sposób zagospodarowania ter</w:t>
      </w:r>
      <w:r>
        <w:rPr>
          <w:color w:val="000000"/>
          <w:szCs w:val="20"/>
        </w:rPr>
        <w:t>enu obejmuje budowę zespołu czterech budynków mieszkalnych wielorodzinnych (A', B, C i D), w tym trzech z lokalami usługowymi lokalizowanymi w parterach (budynki A', C, D) oraz wolnostojący budynek usługowy (budynek E) w ramach inwestycji towarzyszącej), s</w:t>
      </w:r>
      <w:r>
        <w:rPr>
          <w:color w:val="000000"/>
          <w:szCs w:val="20"/>
        </w:rPr>
        <w:t>tanowiący fragment zachowanej hali szedowej wraz z wieżyczką, która chroniona jest poprzez wpis do gminnej ewidencji zabytków, będąca pozostałością dawnego zespołu Zakładów Mechanicznych i Fabryki Tlenu "Franciszek Wagner i S-ka". Hala ta jest zlokalizowan</w:t>
      </w:r>
      <w:r>
        <w:rPr>
          <w:color w:val="000000"/>
          <w:szCs w:val="20"/>
        </w:rPr>
        <w:t>a w oddaleniu od pierzei ul. Żeromskiego oraz ul. Gdańskiej. Budynek D planuje się o maksymalnej wysokości do 9 kondygnacji, budynki A' oraz B projektuje się o maksymalnej wysokości do 7 kondygnacji, budynek C przewiduje się o maksymalnej wysokości do 8 ko</w:t>
      </w:r>
      <w:r>
        <w:rPr>
          <w:color w:val="000000"/>
          <w:szCs w:val="20"/>
        </w:rPr>
        <w:t>ndygnacji. Budynek E (pozostałości zabytkowego budynku z wieżyczką projektuje się o wysokości do 2 kondygnacji. Pierwszy z budynków mieszkalnych wielorodzinnych z usługami (budynek A') planuje się zlokalizować w pierzei ul. Gdańskiej jako uzupełnienie będą</w:t>
      </w:r>
      <w:r>
        <w:rPr>
          <w:color w:val="000000"/>
          <w:szCs w:val="20"/>
        </w:rPr>
        <w:t>cego w trakcie budowy budynku mieszkalnego przy ul. Gdańskiej 127. Budynek ten kontrastować ma kolorem z budynkiem sąsiednim, jednak docelowo stanowić ma dopełnienie poprzez zastosowanie wycofania wysokości. W głębi działki projektuje się budynek w kształc</w:t>
      </w:r>
      <w:r>
        <w:rPr>
          <w:color w:val="000000"/>
          <w:szCs w:val="20"/>
        </w:rPr>
        <w:t>ie litery L (budynek B), który kontynuować ma pasowy układ budynków, a jego kolorystyka nawiązuje do budynku przy ul. Gdańskiej 127. Budynek ten projektuje się jako wolnostojący budynek mieszkalny wielorodzinny. Trzeci budynek (budynek C) przylegać ma ścia</w:t>
      </w:r>
      <w:r>
        <w:rPr>
          <w:color w:val="000000"/>
          <w:szCs w:val="20"/>
        </w:rPr>
        <w:t>ną południową do zabytkowego budynku Fabryki Maszyn i Odlewni Muller i Seidel. Do budynku planuje się dostawić konstrukcję słupową, która sprawi, że mieszkania będą otoczone przez balkony. Czwarty budynek projektuje się w pierzei ul. Żeromskiego, który zos</w:t>
      </w:r>
      <w:r>
        <w:rPr>
          <w:color w:val="000000"/>
          <w:szCs w:val="20"/>
        </w:rPr>
        <w:t xml:space="preserve">tał zaprojektowany jako wolnostojący obiekt o maksymalnie 9 kondygnacjach. Stanowić ma on bramę na teren inwestycji dzięki dwukondygnacyjnemu rozcięciu bryły. Zaokrąglone narożniki stanowić mają element wspólny z budynkiem od strony ul. Gdańskiej spajając </w:t>
      </w:r>
      <w:r>
        <w:rPr>
          <w:color w:val="000000"/>
          <w:szCs w:val="20"/>
        </w:rPr>
        <w:t>całe założenie. Budynki wewnątrz działki projektuje się o wysokości maksymalnie do 8 kondygnacji nadziemnych. Pomiędzy projektowanymi budynkami opisanymi wyżej, znajduje się hala szedowa, która jest planowana do częściowego zachowania. Dla wymienionych bud</w:t>
      </w:r>
      <w:r>
        <w:rPr>
          <w:color w:val="000000"/>
          <w:szCs w:val="20"/>
        </w:rPr>
        <w:t>ynków projektuje się dwa wielostanowiskowe garaże podziemne na jednej kondygnacji podziemnej, oddzielnie obsługujące budynki C i D oraz budynki A' oraz B. Wjazd do garażu podziemnego obsługującego budynki A' i B projektuje się poprzez rampę zjazdową budynk</w:t>
      </w:r>
      <w:r>
        <w:rPr>
          <w:color w:val="000000"/>
          <w:szCs w:val="20"/>
        </w:rPr>
        <w:t>u A lokalizowanego na podstawie odrębnego opracowania na podstawie służebności przejścia i przejazdu przez działkę nr 256/34 w obrębie P-20. Obsługę komunikacyjną terenu zapewnia się poprzez istniejący zjazd z ul. Żeromskiego oraz pośrednio przez teren inw</w:t>
      </w:r>
      <w:r>
        <w:rPr>
          <w:color w:val="000000"/>
          <w:szCs w:val="20"/>
        </w:rPr>
        <w:t>estycji przy ul. Gdańskiej na podstawie wspomnianej służebności. Obsługę garażu budynków C i D projektuje się poprzez istniejący zjazd z ul. Żeromskiego. Teren inwestycji planuje się jako ogólnodostępny w związku z czym nie przewiduje się jego grodzenia. C</w:t>
      </w:r>
      <w:r>
        <w:rPr>
          <w:color w:val="000000"/>
          <w:szCs w:val="20"/>
        </w:rPr>
        <w:t>iągi komunikacji pieszej zaplanowano tak, aby umożliwić przejście przez teren inwestycji pomiędzy ulicami Żeromskiego i Gdańską. Od strony zachodniej zaprojektowano 3 ciągi piesze, łączące przestrzeń publiczną wewnątrz założenia z ul. Żeromskiego. Przebici</w:t>
      </w:r>
      <w:r>
        <w:rPr>
          <w:color w:val="000000"/>
          <w:szCs w:val="20"/>
        </w:rPr>
        <w:t>a stanowić mają wglądy w pozostawioną część hali szedowej. Każdy z  nich pokazywać ma inny charakter tej przestrzeni. Wejście połączone z wjazdem dla samochodów stanowić będzie wgląd w odrestaurowaną konstrukcję hali z placem zabaw. Wejście środkowe zapras</w:t>
      </w:r>
      <w:r>
        <w:rPr>
          <w:color w:val="000000"/>
          <w:szCs w:val="20"/>
        </w:rPr>
        <w:t>zać ma do wnętrza pokazując usługi zlokalizowane w głębi zespołu, a trzecie wejście ma ukazywać zachowaną południową ścianę hali szedowej, połączoną funkcjonalnie z całym założeniem. Na terenie objętym wnioskiem założono ograniczenie ruchu kołowego do mini</w:t>
      </w:r>
      <w:r>
        <w:rPr>
          <w:color w:val="000000"/>
          <w:szCs w:val="20"/>
        </w:rPr>
        <w:t xml:space="preserve">mum. Wjazdy do opisanych wcześniej garaży zaplanowano w maksymalnym zbliżeniu do ulic, w celu uwolnienia znacznej części terenu od ruchu samochodów. Na obszarze inwestycji planuje się utwardzone ciągi piesze i pieszo-jezdne, place zabaw oraz drogi służące </w:t>
      </w:r>
      <w:r>
        <w:rPr>
          <w:color w:val="000000"/>
          <w:szCs w:val="20"/>
        </w:rPr>
        <w:t xml:space="preserve">obsłudze przeciwpożarowej. Na terenie zachowane zostaną istniejące spadki oraz poziom gruntu. </w:t>
      </w:r>
      <w:r>
        <w:rPr>
          <w:color w:val="000000"/>
          <w:szCs w:val="20"/>
        </w:rPr>
        <w:lastRenderedPageBreak/>
        <w:t>Planuje się wprowadzić w całości założenia rozróżnienie detalu elewacji w celu podkreślenia odniesień do otaczającej zabudowy. W budynkach przewidziano następując</w:t>
      </w:r>
      <w:r>
        <w:rPr>
          <w:color w:val="000000"/>
          <w:szCs w:val="20"/>
        </w:rPr>
        <w:t>e funkcje: parter - jako strefa wejściowa oraz pochylnie prowadzące do garaży podziemnych, lokale usługowe i mieszkalne oraz pomieszczenia techniczne; kondygnacje nadziemne - jako lokale mieszkalne i pomieszczenia techniczne; kondygnacja podziemna - jako g</w:t>
      </w:r>
      <w:r>
        <w:rPr>
          <w:color w:val="000000"/>
          <w:szCs w:val="20"/>
        </w:rPr>
        <w:t>araże wielostanowiskowe z miejscami parkingowymi dostępnymi niezależnie wraz z pomieszczeniami technicznymi. W ramach inwestycji mieszkaniowej oraz inwestycji towarzyszącej, zaprojektowano nowe i zaplanowano do przebudowy następujące sieci: ciepłowniczą, e</w:t>
      </w:r>
      <w:r>
        <w:rPr>
          <w:color w:val="000000"/>
          <w:szCs w:val="20"/>
        </w:rPr>
        <w:t xml:space="preserve">lektroenergetyczną, wodociągową oraz kanalizacyjną. Powierzchnia terenu inwestycji wynosi 15 490 </w:t>
      </w:r>
      <w:r>
        <w:rPr>
          <w:color w:val="000000"/>
          <w:szCs w:val="20"/>
          <w:shd w:val="clear" w:color="auto" w:fill="FFFFFF"/>
        </w:rPr>
        <w:t>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</w:rPr>
        <w:t xml:space="preserve">. Powierzchnia działek należących do Inwestora wynosi 10 845 </w:t>
      </w:r>
      <w:r>
        <w:rPr>
          <w:color w:val="000000"/>
          <w:szCs w:val="20"/>
          <w:u w:color="000000"/>
        </w:rPr>
        <w:t>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 xml:space="preserve">. </w:t>
      </w:r>
      <w:r>
        <w:rPr>
          <w:color w:val="000000"/>
          <w:szCs w:val="20"/>
        </w:rPr>
        <w:t>Powierzchnia zabudowy wynosi</w:t>
      </w:r>
      <w:r>
        <w:rPr>
          <w:color w:val="000000"/>
          <w:szCs w:val="20"/>
          <w:u w:color="000000"/>
        </w:rPr>
        <w:t xml:space="preserve"> do 5 650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co stanowi do 52% powierzchni działek Inwestora</w:t>
      </w:r>
      <w:r>
        <w:rPr>
          <w:color w:val="000000"/>
          <w:szCs w:val="20"/>
        </w:rPr>
        <w:t>. P</w:t>
      </w:r>
      <w:r>
        <w:rPr>
          <w:color w:val="000000"/>
          <w:szCs w:val="20"/>
        </w:rPr>
        <w:t>owierzchnia zabudowy budynku usługowego stanowiącego inwestycję towarzyszącą - minimalnie</w:t>
      </w:r>
      <w:r>
        <w:rPr>
          <w:color w:val="000000"/>
          <w:szCs w:val="20"/>
          <w:u w:color="000000"/>
        </w:rPr>
        <w:t xml:space="preserve"> 120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a maksymalnie 300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 xml:space="preserve">, co stanowi 3% powierzchni działek Inwestora. </w:t>
      </w:r>
      <w:r>
        <w:rPr>
          <w:color w:val="000000"/>
          <w:szCs w:val="20"/>
        </w:rPr>
        <w:t>Powierzchnie utwardzone na działkach, na których realizowana będzie inwestycja mieszkaniowa</w:t>
      </w:r>
      <w:r>
        <w:rPr>
          <w:color w:val="000000"/>
          <w:szCs w:val="20"/>
        </w:rPr>
        <w:t xml:space="preserve"> określono na maksimum 5 420</w:t>
      </w:r>
      <w:r>
        <w:rPr>
          <w:color w:val="000000"/>
          <w:szCs w:val="20"/>
          <w:u w:color="000000"/>
        </w:rPr>
        <w:t xml:space="preserve"> m</w:t>
      </w:r>
      <w:r>
        <w:rPr>
          <w:color w:val="000000"/>
          <w:szCs w:val="20"/>
          <w:u w:color="000000"/>
          <w:vertAlign w:val="superscript"/>
        </w:rPr>
        <w:t xml:space="preserve">2, </w:t>
      </w:r>
      <w:r>
        <w:rPr>
          <w:color w:val="000000"/>
          <w:szCs w:val="20"/>
          <w:u w:color="000000"/>
        </w:rPr>
        <w:t xml:space="preserve">co stanowi do 50% powierzchni działek Inwestora. </w:t>
      </w:r>
      <w:r>
        <w:rPr>
          <w:color w:val="000000"/>
          <w:szCs w:val="20"/>
        </w:rPr>
        <w:t>Projektowana powierzchnia  biologicznie czynna określona została na minimum 2 170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,</w:t>
      </w:r>
      <w:r>
        <w:rPr>
          <w:color w:val="000000"/>
          <w:szCs w:val="20"/>
          <w:vertAlign w:val="superscript"/>
        </w:rPr>
        <w:t xml:space="preserve"> </w:t>
      </w:r>
      <w:r>
        <w:rPr>
          <w:color w:val="000000"/>
          <w:szCs w:val="20"/>
        </w:rPr>
        <w:t>co stanowi wskaźnik nie mniejszy niż 20% powierzchni działek Inwestora. Projektowana ilo</w:t>
      </w:r>
      <w:r>
        <w:rPr>
          <w:color w:val="000000"/>
          <w:szCs w:val="20"/>
        </w:rPr>
        <w:t xml:space="preserve">ść mieszkań w bryle projektowanych budynków wynosi od 240 do 282.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Projektowane założenie podzielone zostało na dwa etapy. Pierwszy z nich przewiduje realizację budynków A' i B zlokalizowanych od strony wschodniej (ul. Gdańskiej). Dodatkowo w etapie I prze</w:t>
      </w:r>
      <w:r>
        <w:rPr>
          <w:color w:val="000000"/>
          <w:szCs w:val="20"/>
        </w:rPr>
        <w:t>widuje się budowę placu zabaw obsługującego projektowane budynki, który planuje się zlokalizować w południowo-zachodnim narożniku etapu I. Etap II przewiduje realizację budynków C, D i E w zachodniej części terenu opracowania. Etap ten zakłada również prze</w:t>
      </w:r>
      <w:r>
        <w:rPr>
          <w:color w:val="000000"/>
          <w:szCs w:val="20"/>
        </w:rPr>
        <w:t xml:space="preserve">budowę budynku hali szedowej oraz realizację budynku usługowego E.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Wnioskodawca złożył oświadczenie, o którym mowa w art. 7 ust. 8 pkt 2 specustawy, że nie zachodzi kolizja lokalizacji inwestycji mieszkaniowej z inwestycjami, o których mowa </w:t>
      </w:r>
      <w:r>
        <w:rPr>
          <w:color w:val="000000"/>
          <w:szCs w:val="20"/>
        </w:rPr>
        <w:br/>
        <w:t xml:space="preserve">w art. 4 pkt </w:t>
      </w:r>
      <w:r>
        <w:rPr>
          <w:color w:val="000000"/>
          <w:szCs w:val="20"/>
        </w:rPr>
        <w:t xml:space="preserve">1-13 specustawy i które mają ustawowe pierwszeństwo przed inwestycjami mieszkaniowymi.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Planowana inwestycja objęta jest zapisami uchwały Nr VI/213/19 Rady Miejskiej w Łodzi z dnia 6 marca 2019 r. w sprawie uchwalenia miejscowego planu zagospodarowania prz</w:t>
      </w:r>
      <w:r>
        <w:rPr>
          <w:color w:val="000000"/>
          <w:szCs w:val="20"/>
        </w:rPr>
        <w:t xml:space="preserve">estrzennego dla części obszaru miasta Łodzi położonej w rejonie alei: Adama Mickiewicza i Tadeusza Kościuszki i ulic: Łąkowej, Marii Skłodowskiej-Curie, Stefana Żeromskiego, Andrzeja Struga, Gdańskiej, Mikołaja Kopernika i Wólczańskiej. Zgodnie z zapisami </w:t>
      </w:r>
      <w:r>
        <w:rPr>
          <w:color w:val="000000"/>
          <w:szCs w:val="20"/>
        </w:rPr>
        <w:t xml:space="preserve">MPZP działka 256/33 obręb P-20 należy do terenu oznaczonego na rysunku planu symbolem 10.5.MW/U. Natomiast działki 256/35 i 256/25 obręb P-20 należą do terenu oznaczonego na rysunku planu symbolem 10.7.U. 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Z porównania charakterystycznych parametrów proje</w:t>
      </w:r>
      <w:r>
        <w:rPr>
          <w:color w:val="000000"/>
          <w:szCs w:val="20"/>
        </w:rPr>
        <w:t xml:space="preserve">ktowanej inwestycji z ustaleniami Planu wynika niezgodność inwestycji z  jego wymogami, w zakresie przedstawionym poniżej: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dla terenów oznaczonych na rysunku planu symbolem 10.5.MW/U: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1) linie zabudowy: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a) w Planie: linia zabudowy obowiązująca, rodzaj</w:t>
      </w:r>
      <w:r>
        <w:rPr>
          <w:color w:val="000000"/>
          <w:szCs w:val="20"/>
        </w:rPr>
        <w:t xml:space="preserve"> linii nieprzekraczalnej wzdłuż której obowiązuje sytuowanie minimum 70% powierzchni ściany frontowej budynku, nakaz sytuowania zabudowy zgodnie z liniami zabudowy;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b) w koncepcji: budynek przy ul. Żeromskiego nie uwzględnia ustaleń Planu, wypełnia on ob</w:t>
      </w:r>
      <w:r>
        <w:rPr>
          <w:color w:val="000000"/>
          <w:szCs w:val="20"/>
        </w:rPr>
        <w:t xml:space="preserve">owiązującą linię zabudowy jedynie w 40%, dodatkowo w południowej części </w:t>
      </w:r>
      <w:r>
        <w:rPr>
          <w:color w:val="000000"/>
          <w:szCs w:val="20"/>
        </w:rPr>
        <w:lastRenderedPageBreak/>
        <w:t xml:space="preserve">zachodniej granicy obszaru nie jest on zgodny z przebiegiem linii obowiązującej oraz nieprzekraczalnej;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2) budynek wpisany do gminnej ewidencji zabytków: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 xml:space="preserve">a) w Planie: nakaz trwałego zachowania zabytków zgodnie z przepisami odrębnymi z zakresu ochrony zabytków;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b) w koncepcji: zakłada się zachowanie około 50% hali szedowej wpisanej do GEZ respektując wszelkie warunki opisane w wytycznych od WUOZ;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>3) wysok</w:t>
      </w:r>
      <w:r>
        <w:rPr>
          <w:color w:val="000000"/>
          <w:szCs w:val="20"/>
        </w:rPr>
        <w:t xml:space="preserve">ość budynków: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a) w Planie: wysokość zabudowy frontowej - minimum 12 m, maksimum 23 m, powyżej elewacji frontowej dopuszczenie realizacji wyłącznie dachu lub kondygnacji wycofanej o minimum 1,5 m od lica elewacji, z zachowaniem różnicy maksimum 5 m pomięd</w:t>
      </w:r>
      <w:r>
        <w:rPr>
          <w:color w:val="000000"/>
          <w:szCs w:val="20"/>
        </w:rPr>
        <w:t xml:space="preserve">zy wysokością elewacji frontowej, a wysokością zabudowy frontowej, wysokość zabudowy innej niż frontowa - maksimum 12 m z zastrzeżeniem terenu 10.5.MW/U, dla którego maksimum to 18 m;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b) zabudowa frontowa została zaprojektowana jako zróżnicowana wysokośc</w:t>
      </w:r>
      <w:r>
        <w:rPr>
          <w:color w:val="000000"/>
          <w:szCs w:val="20"/>
        </w:rPr>
        <w:t xml:space="preserve">iowo, pierwszy uskok wysokości to 16,5 m, następnie około 20 m z przewyższeniem do maksymalnie 30 m, projektowane wysokości przekraczają ustalenia Planu dla tego obszaru;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dla terenów oznaczonych na rysunku planu symbolem 10.7.U: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>1) przeznaczenie zabudow</w:t>
      </w:r>
      <w:r>
        <w:rPr>
          <w:color w:val="000000"/>
          <w:szCs w:val="20"/>
        </w:rPr>
        <w:t xml:space="preserve">y: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a) w Planie: przeznaczenie podstawowe - tereny zabudowy usługowej, przeznaczenie uzupełniające - garaże nadziemne i podziemne, infrastruktura techniczna;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b) w koncepcji: projektowany budynek A' oraz fragment budynku B znajdują nie uwzględniają ustal</w:t>
      </w:r>
      <w:r>
        <w:rPr>
          <w:color w:val="000000"/>
          <w:szCs w:val="20"/>
        </w:rPr>
        <w:t xml:space="preserve">eń Planu, projektowane budynki to zabudowa mieszkaniowa wielorodzinna;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2) wysokość zabudowy: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a) w Planie: szerokość pasa terenu, w którym obowiązują ustalenia dla zabudowy frontowej - 18 m od linii elewacji frontowej, wysokość zabudowy frontowej - minim</w:t>
      </w:r>
      <w:r>
        <w:rPr>
          <w:color w:val="000000"/>
          <w:szCs w:val="20"/>
        </w:rPr>
        <w:t>um 12 m, maksimum 23 m, przy zachowaniu wysokości elewacji frontowej min. 12 m i maks. 18 m z zastrzeżeniem, że strefy wysokości zabudowy oznaczonej na rysunku symbolem "SWZ 22", dla której wysokość zabudowy frontowej wynosi min. 21 m i maks. 27 m, przy za</w:t>
      </w:r>
      <w:r>
        <w:rPr>
          <w:color w:val="000000"/>
          <w:szCs w:val="20"/>
        </w:rPr>
        <w:t xml:space="preserve">chowaniu wysokości elewacji frontowej - min. 21 m i maks. 22 m;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b) projektowany budynek frontowy od strony ul. Gdańskiej nie uwzględnia ustaleń Planu w zakresie wysokości w strefie "SWZ 22".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Zgodnie z art. 5 ust. 3 specustawy, </w:t>
      </w:r>
      <w:r>
        <w:rPr>
          <w:color w:val="000000"/>
          <w:sz w:val="23"/>
          <w:szCs w:val="20"/>
        </w:rPr>
        <w:t xml:space="preserve">w związku z art. 70 ust. </w:t>
      </w:r>
      <w:r>
        <w:rPr>
          <w:color w:val="000000"/>
          <w:sz w:val="23"/>
          <w:szCs w:val="20"/>
        </w:rPr>
        <w:t>2 ustawy z dnia 7 lipca 2023 r. o zmianie ustawy o planowaniu i zagospodarowaniu przestrzennym oraz niektórych innych ustaw (Dz. U. poz. 1688, z późn. zm.),</w:t>
      </w:r>
      <w:r>
        <w:rPr>
          <w:color w:val="000000"/>
          <w:szCs w:val="20"/>
        </w:rPr>
        <w:t xml:space="preserve"> inwestycje mieszkaniowe lub inwestycje towarzyszące realizuje się niezależnie od istnienia lub usta</w:t>
      </w:r>
      <w:r>
        <w:rPr>
          <w:color w:val="000000"/>
          <w:szCs w:val="20"/>
        </w:rPr>
        <w:t xml:space="preserve">leń miejscowego planu zagospodarowania przestrzennego pod warunkiem, że nie są sprzeczne ze Studium oraz uchwałą o utworzeniu parku kulturowego.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Z ustaleń Studium wynika, że lokalizacja wnioskowanej inwestycji mieszkaniowej znajduje się w jednostce plan</w:t>
      </w:r>
      <w:r>
        <w:rPr>
          <w:color w:val="000000"/>
          <w:szCs w:val="20"/>
        </w:rPr>
        <w:t xml:space="preserve">istycznej oznaczonej jako W3b - strefa wielkomiejska, jednostka funkcjonalno-przestrzenna: wielofunkcyjne kwartały śródmiejskie III. </w:t>
      </w:r>
      <w:r>
        <w:rPr>
          <w:color w:val="000000"/>
          <w:szCs w:val="20"/>
          <w:shd w:val="clear" w:color="auto" w:fill="FFFFFF"/>
        </w:rPr>
        <w:t>Przedłożony projekt inwestycji jest zgodny ze Studium w zakresie: głównych celów polityki przestrzennej, przeznaczenia tere</w:t>
      </w:r>
      <w:r>
        <w:rPr>
          <w:color w:val="000000"/>
          <w:szCs w:val="20"/>
          <w:shd w:val="clear" w:color="auto" w:fill="FFFFFF"/>
        </w:rPr>
        <w:t xml:space="preserve">nu, struktury przestrzennej, kształtowania zieleni, wskaźników </w:t>
      </w:r>
      <w:r>
        <w:rPr>
          <w:color w:val="000000"/>
          <w:szCs w:val="20"/>
          <w:shd w:val="clear" w:color="auto" w:fill="FFFFFF"/>
        </w:rPr>
        <w:lastRenderedPageBreak/>
        <w:t xml:space="preserve">zagospodarowania, wysokości zabudowy oraz spełnia założenia związane z działaniami operacyjnymi, polityką parkingową oraz komunikacją. </w:t>
      </w:r>
      <w:r>
        <w:rPr>
          <w:color w:val="000000"/>
          <w:szCs w:val="20"/>
        </w:rPr>
        <w:t>Planowany sposób zagospodarowania jest jednak zgodny z głó</w:t>
      </w:r>
      <w:r>
        <w:rPr>
          <w:color w:val="000000"/>
          <w:szCs w:val="20"/>
        </w:rPr>
        <w:t>wnymi celami polityki przestrzennej, poprzez zwiększanie atrakcyjności inwestycyjnej miasta oraz podnoszenie jakości życia mieszkańców miasta i regionu. Ponadto wpisuje się w założenia struktury przestrzennej. Wniosek jest również zgodny z założeniami poli</w:t>
      </w:r>
      <w:r>
        <w:rPr>
          <w:color w:val="000000"/>
          <w:szCs w:val="20"/>
        </w:rPr>
        <w:t xml:space="preserve">tyki przestrzennej dzięki przeprowadzeniu przekształceń funkcjonalnych mających na celu harmonijne włączenie obszarów w strukturę miasta i mieszanie oraz dodawanie funkcji umożliwiające funkcjonowanie w cyklu dobowym. Dla inwestycji jest zapewniony dostęp </w:t>
      </w:r>
      <w:r>
        <w:rPr>
          <w:color w:val="000000"/>
          <w:szCs w:val="20"/>
        </w:rPr>
        <w:t xml:space="preserve">do komunikacji zbiorowej w formie czytelnych i bezpiecznych dojść do przystanków i węzłów przesiadkowych, infrastruktury rowerowej oraz przestrzeni wspólnych. Przedmiotowy wniosek jest zgodny z polityką kształtowania zieleni. Zgodnie z planowanym sposobem </w:t>
      </w:r>
      <w:r>
        <w:rPr>
          <w:color w:val="000000"/>
          <w:szCs w:val="20"/>
        </w:rPr>
        <w:t>zagospodarowania terenu inwestycji spełniony zostaje wskaźnik powierzchni biologicznie czynnej tj. minimum 5% (przewiduje się minimum 20% powierzchni biologicznie czynnej na terenie objętym inwestycją mieszkaniową). W Studium wskazano maksymalna intensywno</w:t>
      </w:r>
      <w:r>
        <w:rPr>
          <w:color w:val="000000"/>
          <w:szCs w:val="20"/>
        </w:rPr>
        <w:t xml:space="preserve">ść zabudowy 2,5 brutto dla całego terenu W3b. Inwestor wskazuje we wniosku, że wskaźnik ten przed realizacją wynosi 1,20 oraz po realizacji projektowanych budynków wyniesie 1,38 brutto dla całości terenu. W Studium określono maksymalną wysokość zabudowy z </w:t>
      </w:r>
      <w:r>
        <w:rPr>
          <w:color w:val="000000"/>
          <w:szCs w:val="20"/>
        </w:rPr>
        <w:t>dopuszczeniem przewyższeń uzasadnionych kompozycyjnie tj. nie wyżej niż 30m. Projektowane budynki planuje się o maksymalnej wysokości 30 m dla zabudowy frontowej oraz maksymalnie 27 m dla pozostałej zabudowy. Budynek usługowy w ramach inwestycji towarzyszą</w:t>
      </w:r>
      <w:r>
        <w:rPr>
          <w:color w:val="000000"/>
          <w:szCs w:val="20"/>
        </w:rPr>
        <w:t>cej projektuje się o maksymalnej wysokości 13 m. Teren inwestycji znajduje się w zakresie Strefy A wyznaczonej w ramach Lokalnych Standardów Urbanistycznych dla Łodzi, gdzie dopuszcza się realizację budynków o maksymalnie 14 kondygnacjach nadziemnych. Stre</w:t>
      </w:r>
      <w:r>
        <w:rPr>
          <w:color w:val="000000"/>
          <w:szCs w:val="20"/>
        </w:rPr>
        <w:t>fa A stanowi zbiór terenów stanowiących bezpośrednią obudowę głównej arterii miasta jaką jest al. Mickiewicza, gdzie dopuszcza się przewyższenia projektowanej zabudowy. W związku z tym proponowane w ramach inwestycji przewyższenia wpisują się w strategię m</w:t>
      </w:r>
      <w:r>
        <w:rPr>
          <w:color w:val="000000"/>
          <w:szCs w:val="20"/>
        </w:rPr>
        <w:t xml:space="preserve">iasta dotyczące wysokości budynków w tym terenie. Wniosek spełnia także wymagania Studium w założeniach polityki parkingowej zakładającej zapotrzebowanie na miejsca parkingowe dla nowej zabudowy.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Wniosek inwestora spełnia standardy lokalizacji i realizacj</w:t>
      </w:r>
      <w:r>
        <w:rPr>
          <w:color w:val="000000"/>
          <w:szCs w:val="20"/>
        </w:rPr>
        <w:t>i inwestycji mieszkaniowych określonych w rozdziale 3 specustawy w następujący sposób: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1) zgodnie z art. 17 ust. 1 specustawy: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a) inwestycja ma zapewniony bezpośredni dostęp do drogi publicznej z ul. Żeromskiego oraz pośredni dostęp z ul. Gdańskiej zgodnie</w:t>
      </w:r>
      <w:r>
        <w:rPr>
          <w:color w:val="000000"/>
          <w:szCs w:val="20"/>
        </w:rPr>
        <w:t xml:space="preserve"> z oświadczeniem dotyczącym służebności przejścia i przejazdu;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b) inwestycja ma zapewniony dostęp do sieci wodociągowej i kanalizacyjnej - zgodnie z pismami z Zakładu Wodociągów i Kanalizacji Sp. z o. o.: IT.424.2938.2024.EC, IT.424.57.2025.SZ, IT.424.421</w:t>
      </w:r>
      <w:r>
        <w:rPr>
          <w:color w:val="000000"/>
          <w:szCs w:val="20"/>
        </w:rPr>
        <w:t xml:space="preserve">.2025.SZ, IT.424.429.2025.WZ, IT.424.1630.2025.SZ, IT.424.1624.2025.SZ, IT.424.1736.2025.MP3 lub warunków zamiennych;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c) inwestycja ma zapewniony dostęp do sieci elektroenergetycznej - na podstawie wydanej promesy potwierdzającej możliwość dostawy energii</w:t>
      </w:r>
      <w:r>
        <w:rPr>
          <w:color w:val="000000"/>
          <w:szCs w:val="20"/>
        </w:rPr>
        <w:t xml:space="preserve"> elektrycznej dla przedmiotowego obiektu przez PGE Dystrybucja S.A. dnia 19.11.2024 r. i 02.01.2025 r. nr: 24-D7/WZD/00585/PGED1140195KW24, 25-D7/WZD/00001/JW; </w:t>
      </w:r>
    </w:p>
    <w:p w:rsidR="009124DE" w:rsidRDefault="00F97D4A">
      <w:pPr>
        <w:spacing w:before="120" w:after="120"/>
        <w:ind w:firstLine="340"/>
        <w:jc w:val="both"/>
        <w:rPr>
          <w:color w:val="000000"/>
          <w:szCs w:val="20"/>
        </w:rPr>
      </w:pPr>
      <w:r>
        <w:rPr>
          <w:color w:val="000000"/>
          <w:szCs w:val="20"/>
        </w:rPr>
        <w:t>2) zgodnie z art. 17 ust. 2 w związku z art 19 specustawy i uchwałą Nr LXXVI/2076/18 Rady Miejs</w:t>
      </w:r>
      <w:r>
        <w:rPr>
          <w:color w:val="000000"/>
          <w:szCs w:val="20"/>
        </w:rPr>
        <w:t xml:space="preserve">kiej w Łodzi z dnia 10 października 2018 r. w sprawie lokalnych standardów </w:t>
      </w:r>
      <w:r>
        <w:rPr>
          <w:color w:val="000000"/>
          <w:szCs w:val="20"/>
          <w:u w:color="000000"/>
        </w:rPr>
        <w:t>urbanistycznych dla Miasta Łodzi (Dz. Urz. Woj. Łódzkiego poz. 5644), zmienionej uchwałami Rady Miejskiej w Łodzi: Nr III/59/18 z dnia 27 grudnia 2018 r. (Dz. Urz. Woj. Łódzkiego z </w:t>
      </w:r>
      <w:r>
        <w:rPr>
          <w:color w:val="000000"/>
          <w:szCs w:val="20"/>
          <w:u w:color="000000"/>
        </w:rPr>
        <w:t xml:space="preserve">2019 r. poz. 348), Nr XXXIII/1093/20 z dnia 2 grudnia 2020 r. (Dz. Urz. Woj. </w:t>
      </w:r>
      <w:r>
        <w:rPr>
          <w:color w:val="000000"/>
          <w:szCs w:val="20"/>
          <w:u w:color="000000"/>
        </w:rPr>
        <w:lastRenderedPageBreak/>
        <w:t>Łódzkiego poz. 7200), Nr LX/1810/22 z dnia 1 czerwca 2022 r. (Dz. Urz. Woj. Łódzkiego poz. 3675), Nr LXXIII/2191/23 z dnia 15 marca 2023 r. (Dz. Urz. Woj. Łódzkiego poz. 4066) i N</w:t>
      </w:r>
      <w:r>
        <w:rPr>
          <w:color w:val="000000"/>
          <w:szCs w:val="20"/>
          <w:u w:color="000000"/>
        </w:rPr>
        <w:t xml:space="preserve">r LXXXVI/2076/24 z dnia 17 stycznia 2024 r. (Dz. Urz. Woj. Łódzkiego poz. 1102), </w:t>
      </w:r>
      <w:r>
        <w:rPr>
          <w:color w:val="000000"/>
          <w:szCs w:val="20"/>
        </w:rPr>
        <w:t>zwanych lokalnymi standardami urbanistycznymi: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a) inwestycja mieszkaniowa zlokalizowana jest w odległości dojścia nie większej niż 500 m od istniejącego przystanku publicznego transportu zbiorowego - odległość przystanku komunikacji miejskiej to 240 m (przystanek </w:t>
      </w:r>
      <w:proofErr w:type="spellStart"/>
      <w:r>
        <w:rPr>
          <w:color w:val="000000"/>
          <w:szCs w:val="20"/>
        </w:rPr>
        <w:t>Żeromskiego-Mickiewicza</w:t>
      </w:r>
      <w:proofErr w:type="spellEnd"/>
      <w:r>
        <w:rPr>
          <w:color w:val="000000"/>
          <w:szCs w:val="20"/>
        </w:rPr>
        <w:t xml:space="preserve">);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b) inwestycj</w:t>
      </w:r>
      <w:r>
        <w:rPr>
          <w:color w:val="000000"/>
          <w:szCs w:val="20"/>
        </w:rPr>
        <w:t>a mieszkaniowa zlokalizowana jest w odległości nie większej niż 1000 m od szkoły podstawowej, która jest w stanie przyjąć nowych uczniów w liczbie dzieci stanowiącej nie mniej niż 7% planowanych mieszkańców inwestycji mieszkaniowej - odległość dojścia do S</w:t>
      </w:r>
      <w:r>
        <w:rPr>
          <w:color w:val="000000"/>
          <w:szCs w:val="20"/>
        </w:rPr>
        <w:t xml:space="preserve">zkoły Podstawowej nr 160 w Łodzi przy ul. Andrzeja Struga 24a wynosi 750 m, co spełnia wymagane warunki i zostało potwierdzone zaświadczeniem nr DEP-Ed-I.0124.19.2025 z dnia 05 września 2025 r.;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c) wysokość budynków wynosząca do 30 m, obejmująca do 9 kond</w:t>
      </w:r>
      <w:r>
        <w:rPr>
          <w:color w:val="000000"/>
          <w:szCs w:val="20"/>
        </w:rPr>
        <w:t xml:space="preserve">ygnacji nadziemnych, co spełnia warunki określające maksymalną liczbę kondygnacji o której mowa w Lokalnych Standardach Urbanistycznych, które dopuszczają do 14 kondygnacji nadziemnych;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3) zgodnie z art. 17 ust. 4 w związku z art. 19 specustawy i lokalnym</w:t>
      </w:r>
      <w:r>
        <w:rPr>
          <w:color w:val="000000"/>
          <w:szCs w:val="20"/>
        </w:rPr>
        <w:t>i standardami urbanistycznymi - inwestycja zlokalizowana jest w odległości mniejszej niż 1000 m od urządzonego terenu wypoczynku oraz rekreacji lub sportu wskazanych w uchwale i o powierzchni większej niż stanowi iloczyn planowanej liczby mieszkańców - 650</w:t>
      </w:r>
      <w:r>
        <w:rPr>
          <w:color w:val="000000"/>
          <w:szCs w:val="20"/>
        </w:rPr>
        <w:t xml:space="preserve"> osób oraz wskaźnika wynoszącego 4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 na mieszkańca (minimalna powierzchnia parku 2 600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) - w odległości około 500 m znajduje się Park im. ks. J. Poniatowskiego o powierzchni około 380 000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, co spełnia warunki;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4) zgodnie z art. 17 ust. 4d pkt. 1 spec</w:t>
      </w:r>
      <w:r>
        <w:rPr>
          <w:color w:val="000000"/>
          <w:szCs w:val="20"/>
        </w:rPr>
        <w:t>ustawy planowana inwestycja musi zapewniać udział powierzchni terenu biologicznie czynnego wynoszącego co najmniej 12,5% powierzchni terenu inwestycji mieszkaniowej - planowana minimalna powierzchnia biologicznie czynna to 20% powierzchni inwestycji mieszk</w:t>
      </w:r>
      <w:r>
        <w:rPr>
          <w:color w:val="000000"/>
          <w:szCs w:val="20"/>
        </w:rPr>
        <w:t xml:space="preserve">aniowej, co spełnia wymagania;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5) zgodnie z art. 19 ust. 3 specustawy i lokalnymi standardami urbanistycznymi:</w:t>
      </w:r>
    </w:p>
    <w:p w:rsidR="009124DE" w:rsidRDefault="00F97D4A">
      <w:pPr>
        <w:spacing w:before="120" w:after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a) inwestycja ma zapewniony dostęp do sieci ciepłowniczej na podstawie zamiennych warunków przyłączeniowe potwierdzające możliwość podłączenia d</w:t>
      </w:r>
      <w:r>
        <w:rPr>
          <w:color w:val="000000"/>
          <w:szCs w:val="20"/>
        </w:rPr>
        <w:t xml:space="preserve">o Ciepła Systemowego nr 4/25 przez Veolia Energia Łódź S.A.: 3/25, 4/25 lub warunków zamiennych;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b) zapewniono niezbędną minimalną liczbę miejsc parkingowych dla obsługi inwestycji, równą liczbie mieszkań (zgodnie z wnioskiem inwestora), niezbędną minimal</w:t>
      </w:r>
      <w:r>
        <w:rPr>
          <w:color w:val="000000"/>
          <w:szCs w:val="20"/>
        </w:rPr>
        <w:t>ną liczbę miejsc parkingowych dla obsługi wolnostojącego budynku usługowego w ramach inwestycji towarzyszącej, równą wskaźnikowi 2 miejsc parkingowych na każde rozpoczęte 100 m</w:t>
      </w:r>
      <w:r>
        <w:rPr>
          <w:color w:val="000000"/>
          <w:szCs w:val="20"/>
          <w:vertAlign w:val="superscript"/>
        </w:rPr>
        <w:t xml:space="preserve">2 </w:t>
      </w:r>
      <w:r>
        <w:rPr>
          <w:color w:val="000000"/>
          <w:szCs w:val="20"/>
        </w:rPr>
        <w:t>powierzchni całkowitej obiektu oraz 1,5 miejsca parkingowego na każde rozpoczę</w:t>
      </w:r>
      <w:r>
        <w:rPr>
          <w:color w:val="000000"/>
          <w:szCs w:val="20"/>
        </w:rPr>
        <w:t>te 100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 powierzchni całkowitej dla usług w obiekcie stanowiących inwestycję mieszkaniową, tj. przy maksymalnej liczbie mieszkań wynoszącej 282, maksymalnej powierzchni całkowitej dla wolnostojącego budynku usługowego w ramach inwestycji towarzyszącej wyn</w:t>
      </w:r>
      <w:r>
        <w:rPr>
          <w:color w:val="000000"/>
          <w:szCs w:val="20"/>
        </w:rPr>
        <w:t>oszącej 300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 oraz dla usług w obiekcie stanowiącym inwestycję mieszkaniową  wynoszącej maksymalnie 2200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 xml:space="preserve">, łączna liczba miejsc parkingowych dla planowanej inwestycji wynosi 321. </w:t>
      </w:r>
    </w:p>
    <w:p w:rsidR="009124DE" w:rsidRDefault="00F97D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firstLine="435"/>
        <w:jc w:val="both"/>
        <w:rPr>
          <w:color w:val="000000"/>
          <w:szCs w:val="20"/>
        </w:rPr>
      </w:pPr>
      <w:r>
        <w:rPr>
          <w:color w:val="000000"/>
          <w:szCs w:val="20"/>
        </w:rPr>
        <w:t>Projektowana inwestycja mieszkaniowa nie została zlokalizowana na terenac</w:t>
      </w:r>
      <w:r>
        <w:rPr>
          <w:color w:val="000000"/>
          <w:szCs w:val="20"/>
        </w:rPr>
        <w:t xml:space="preserve">h podlegających ochronie przed lokalizowaniem lub zabudową na podstawie odrębnych przepisów, a także w granicach otulin form ochrony przyrody, rodzinnych ogrodów działkowych czy obszaru szczególnego zagrożenia powodzią, zgodnie z art. 5 ust. 1 i 2 </w:t>
      </w:r>
      <w:r>
        <w:rPr>
          <w:color w:val="000000"/>
          <w:szCs w:val="20"/>
        </w:rPr>
        <w:lastRenderedPageBreak/>
        <w:t>specust</w:t>
      </w:r>
      <w:r>
        <w:rPr>
          <w:color w:val="000000"/>
          <w:szCs w:val="20"/>
        </w:rPr>
        <w:t xml:space="preserve">awy. </w:t>
      </w:r>
      <w:r>
        <w:rPr>
          <w:color w:val="000000"/>
          <w:sz w:val="23"/>
          <w:szCs w:val="20"/>
        </w:rPr>
        <w:t xml:space="preserve">Projektowana inwestycja nie jest zlokalizowana w odległościach, o których mowa </w:t>
      </w:r>
      <w:r>
        <w:rPr>
          <w:color w:val="000000"/>
          <w:sz w:val="23"/>
          <w:szCs w:val="20"/>
        </w:rPr>
        <w:br/>
        <w:t xml:space="preserve">w art. 5 ust. 3a specustawy.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Przy podejmowaniu niniejszej uchwały Rada Miejska w Łodzi brała pod uwagę stan zaspokojenia potrzeb mieszkaniowych na terenie gminy oraz potr</w:t>
      </w:r>
      <w:r>
        <w:rPr>
          <w:color w:val="000000"/>
          <w:szCs w:val="20"/>
        </w:rPr>
        <w:t xml:space="preserve">zeby i możliwości rozwoju gminy wynikające z ustaleń studium uwarunkowań i kierunków zagospodarowania przestrzennego gminy i sporządzonym na jego podstawie miejscowym planie zagospodarowania przestrzennego. </w:t>
      </w:r>
    </w:p>
    <w:p w:rsidR="009124DE" w:rsidRDefault="00F97D4A">
      <w:pPr>
        <w:spacing w:before="120" w:after="120"/>
        <w:ind w:firstLine="510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</w:rPr>
        <w:t xml:space="preserve">Z uwagi na brak uzasadnienia co do niezgodności </w:t>
      </w:r>
      <w:r>
        <w:rPr>
          <w:color w:val="000000"/>
          <w:szCs w:val="20"/>
        </w:rPr>
        <w:t xml:space="preserve">z wytycznymi zawartymi miejscowym planie zagospodarowania, Rada Miejska nie znajduje uzasadnienia do podjęcia uchwały o ustaleniu wnioskowanej lokalizacji inwestycji mieszkaniowej i inwestycji towarzyszącej na przedmiotowym obszarze. </w:t>
      </w:r>
    </w:p>
    <w:sectPr w:rsidR="009124DE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4A" w:rsidRDefault="00F97D4A">
      <w:r>
        <w:separator/>
      </w:r>
    </w:p>
  </w:endnote>
  <w:endnote w:type="continuationSeparator" w:id="0">
    <w:p w:rsidR="00F97D4A" w:rsidRDefault="00F9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124DE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24DE" w:rsidRDefault="00F97D4A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24DE" w:rsidRDefault="00F97D4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15B4">
            <w:rPr>
              <w:sz w:val="18"/>
            </w:rPr>
            <w:fldChar w:fldCharType="separate"/>
          </w:r>
          <w:r w:rsidR="00C015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24DE" w:rsidRDefault="009124D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124DE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24DE" w:rsidRDefault="00F97D4A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24DE" w:rsidRDefault="00F97D4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15B4">
            <w:rPr>
              <w:sz w:val="18"/>
            </w:rPr>
            <w:fldChar w:fldCharType="separate"/>
          </w:r>
          <w:r w:rsidR="00C015B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124DE" w:rsidRDefault="009124D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4A" w:rsidRDefault="00F97D4A">
      <w:r>
        <w:separator/>
      </w:r>
    </w:p>
  </w:footnote>
  <w:footnote w:type="continuationSeparator" w:id="0">
    <w:p w:rsidR="00F97D4A" w:rsidRDefault="00F97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9124DE"/>
    <w:rsid w:val="00A77B3E"/>
    <w:rsid w:val="00C015B4"/>
    <w:rsid w:val="00CA2A55"/>
    <w:rsid w:val="00F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B5645"/>
  <w15:docId w15:val="{F0363F05-3A16-4F74-99D1-1593D62D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3953</Words>
  <Characters>23722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27620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odmowy ustalenia lokalizacji inwestycji mieszkaniowej i inwestycji towarzyszącej przy ulicach Żeromskiego 94a oraz Gdańskiej 127 i 129 w Łodzi.</dc:subject>
  <dc:creator>tforysiak</dc:creator>
  <cp:lastModifiedBy>Tomasz Forysiak</cp:lastModifiedBy>
  <cp:revision>2</cp:revision>
  <dcterms:created xsi:type="dcterms:W3CDTF">2026-01-05T11:31:00Z</dcterms:created>
  <dcterms:modified xsi:type="dcterms:W3CDTF">2026-01-05T10:31:00Z</dcterms:modified>
  <cp:category>Akt prawny</cp:category>
</cp:coreProperties>
</file>