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D9DDC" w14:textId="77777777" w:rsidR="00A77B3E" w:rsidRDefault="00A77B3E">
      <w:pPr>
        <w:ind w:left="5669"/>
        <w:jc w:val="left"/>
      </w:pPr>
      <w:bookmarkStart w:id="0" w:name="_GoBack"/>
      <w:bookmarkEnd w:id="0"/>
    </w:p>
    <w:p w14:paraId="153DBB4B" w14:textId="77777777" w:rsidR="00A77B3E" w:rsidRDefault="00A77B3E">
      <w:pPr>
        <w:ind w:left="5669"/>
        <w:jc w:val="left"/>
      </w:pPr>
    </w:p>
    <w:p w14:paraId="7C46F2D3" w14:textId="4E84EAA1" w:rsidR="00A77B3E" w:rsidRDefault="00F12DE7">
      <w:pPr>
        <w:ind w:left="5669"/>
        <w:jc w:val="left"/>
      </w:pPr>
      <w:r>
        <w:t>Druk Nr</w:t>
      </w:r>
      <w:r w:rsidR="00063F58">
        <w:t xml:space="preserve"> 17/2026</w:t>
      </w:r>
    </w:p>
    <w:p w14:paraId="48DE8CE7" w14:textId="723F326D" w:rsidR="00A77B3E" w:rsidRDefault="00F12DE7">
      <w:pPr>
        <w:ind w:left="5669"/>
        <w:jc w:val="left"/>
      </w:pPr>
      <w:r>
        <w:t>Projekt z dnia</w:t>
      </w:r>
      <w:r w:rsidR="00063F58">
        <w:t xml:space="preserve"> 19 stycznia 2026 r.</w:t>
      </w:r>
    </w:p>
    <w:p w14:paraId="1CD04453" w14:textId="77777777" w:rsidR="00A77B3E" w:rsidRDefault="00A77B3E">
      <w:pPr>
        <w:ind w:left="5669"/>
        <w:jc w:val="left"/>
      </w:pPr>
    </w:p>
    <w:p w14:paraId="7CD9E5C9" w14:textId="77777777" w:rsidR="00A77B3E" w:rsidRDefault="00F12DE7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4E5154B8" w14:textId="77777777" w:rsidR="00A77B3E" w:rsidRDefault="00F12DE7">
      <w:pPr>
        <w:spacing w:before="280" w:after="280"/>
        <w:jc w:val="center"/>
        <w:rPr>
          <w:b/>
          <w:caps/>
        </w:rPr>
      </w:pPr>
      <w:r>
        <w:rPr>
          <w:b/>
          <w:sz w:val="22"/>
        </w:rPr>
        <w:t>z dnia                           r.</w:t>
      </w:r>
    </w:p>
    <w:p w14:paraId="212BE4B2" w14:textId="77777777" w:rsidR="00A77B3E" w:rsidRDefault="00F12DE7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</w:t>
      </w:r>
      <w:r>
        <w:rPr>
          <w:b/>
        </w:rPr>
        <w:t>położonej w rejonie ulicy Wiączyńskiej i autostrady A1.</w:t>
      </w:r>
    </w:p>
    <w:p w14:paraId="2BF14FF1" w14:textId="77777777" w:rsidR="00A77B3E" w:rsidRDefault="00F12DE7">
      <w:pPr>
        <w:keepLines/>
        <w:spacing w:before="120" w:after="120"/>
        <w:ind w:firstLine="567"/>
      </w:pPr>
      <w:r>
        <w:t>Na podstawie art. 18 ust. 2 pkt 5 i art. 40 ust. 1 ustawy z dnia 8 marca 1990 r. o samorządzie gminnym (Dz. U. z 2025 r. poz. 1153 i 1436) oraz art. 14 ust. 8 i art. 20 ust. 1 ustawy z dnia 27 marca 2</w:t>
      </w:r>
      <w:r>
        <w:t>003 r. o planowaniu i zagospodarowaniu przestrzennym (Dz. U. z 2024 r. poz. 1130, 1907 i 1940 oraz z 2025 r. poz. 527, 680 i 1668), w związku z art. 67 ust. 3 pkt 4 ustawy z dnia 7 lipca 2023 r. o zmianie ustawy o planowaniu i zagospodarowaniu przestrzenny</w:t>
      </w:r>
      <w:r>
        <w:t>m oraz niektórych innych ustaw (Dz. U. poz. 1688, z 2024 r. poz. 1824 oraz z 2025 r. poz. 527, 1543 i 1668), Rada Miejska w Łodzi</w:t>
      </w:r>
    </w:p>
    <w:p w14:paraId="63948AC5" w14:textId="77777777" w:rsidR="00A77B3E" w:rsidRDefault="00F12DE7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14:paraId="549C8693" w14:textId="77777777" w:rsidR="00A77B3E" w:rsidRDefault="00F12DE7">
      <w:pPr>
        <w:keepNext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13E39B88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 xml:space="preserve">§ 1. 1. Przedmiotem uchwały są ustalenia miejscowego planu zagospodarowania </w:t>
      </w:r>
      <w:r>
        <w:t>przestrzennego dla części obszaru miasta Łodzi położonej w rejonie ulicy Wiączyńskiej i autostrady A1, zwanego dalej „planem”, wraz z integralnymi jej częściami w postaci:</w:t>
      </w:r>
    </w:p>
    <w:p w14:paraId="1DD279FD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1:2000, stanowiącego załącznik Nr 1 do uchwały;</w:t>
      </w:r>
    </w:p>
    <w:p w14:paraId="2E9EA0A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 projektu planu wniesionych w związku z wyłożeniem do publicznego wglądu, stanowiącego załącznik Nr 2 do uchwały;</w:t>
      </w:r>
    </w:p>
    <w:p w14:paraId="1684D91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 zapisanych w planie inwestycji z zakresu infrastruk</w:t>
      </w:r>
      <w:r>
        <w:rPr>
          <w:color w:val="000000"/>
          <w:u w:color="000000"/>
        </w:rPr>
        <w:t>tury technicznej, które należą do zadań własnych gminy oraz zasadach ich finansowania zgodnie z przepisami o finansach publicznych, stanowiącego załącznik Nr 3 do uchwały.</w:t>
      </w:r>
    </w:p>
    <w:p w14:paraId="01882AD6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</w:t>
      </w:r>
      <w:r>
        <w:rPr>
          <w:color w:val="000000"/>
          <w:u w:color="000000"/>
        </w:rPr>
        <w:t>1 pkt 1.</w:t>
      </w:r>
    </w:p>
    <w:p w14:paraId="5FDFF60F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 LXIX/1753/18 Rady Miejskiej w Łodzi z dnia 28 marca 2018 r., zmienioną uchwałami Rady Miejskiej w</w:t>
      </w:r>
      <w:r>
        <w:rPr>
          <w:color w:val="000000"/>
          <w:u w:color="000000"/>
        </w:rPr>
        <w:t> Łodzi Nr VI/215/19 z dnia 6 marca 2019 r. i Nr LII/1605/21 z dnia 22 grudnia 2021 r.</w:t>
      </w:r>
    </w:p>
    <w:p w14:paraId="2DEF7EA2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57D9E25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14:paraId="5CCD2D79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granic i sposobów zagospodarow</w:t>
      </w:r>
      <w:r>
        <w:rPr>
          <w:color w:val="000000"/>
          <w:u w:color="000000"/>
        </w:rPr>
        <w:t>ania terenów lub obiektów podlegających ochronie na podstawie odrębnych przepisów, terenów górniczych, a także obszarów szczególnego zagrożenia powodzią, obszarów osuwania się mas ziemnych;</w:t>
      </w:r>
    </w:p>
    <w:p w14:paraId="46565D3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sposobu i terminu tymczasowego zagospodarowania, urządzania </w:t>
      </w:r>
      <w:r>
        <w:rPr>
          <w:color w:val="000000"/>
          <w:u w:color="000000"/>
        </w:rPr>
        <w:t>i użytkowania terenów.</w:t>
      </w:r>
    </w:p>
    <w:p w14:paraId="7A41D94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14:paraId="4B3A10CD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15º;</w:t>
      </w:r>
    </w:p>
    <w:p w14:paraId="0DA35A5F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elewacja frontowa – elewacja budynku znajdująca się od strony przestrzeni publicznej;</w:t>
      </w:r>
    </w:p>
    <w:p w14:paraId="4ECEB67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 – odcinek g</w:t>
      </w:r>
      <w:r>
        <w:rPr>
          <w:color w:val="000000"/>
          <w:u w:color="000000"/>
        </w:rPr>
        <w:t>ranicy działki budowlanej przylegającej do drogi publicznej lub innego ciągu komunikacyjnego, z którego odbywa się główny wjazd lub wejście na tę działkę;</w:t>
      </w:r>
    </w:p>
    <w:p w14:paraId="6B39F54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infrastruktura techniczna – przewody i urządzenia oraz obiekty budowlane: wodociągowe, kanalizacyj</w:t>
      </w:r>
      <w:r>
        <w:rPr>
          <w:color w:val="000000"/>
          <w:u w:color="000000"/>
        </w:rPr>
        <w:t>ne, ciepłownicze, elektryczne, gazowe i telekomunikacyjne;</w:t>
      </w:r>
    </w:p>
    <w:p w14:paraId="298371A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zagospodarowania;</w:t>
      </w:r>
    </w:p>
    <w:p w14:paraId="32AC950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zabudowy nieprzekracza</w:t>
      </w:r>
      <w:r>
        <w:rPr>
          <w:color w:val="000000"/>
          <w:u w:color="000000"/>
        </w:rPr>
        <w:t>lna – wyznaczona na rysunku planu linia określająca część działki budowlanej, na której możliwe jest lokalizowanie budynków, z zakazem jej przekraczania, który to zakaz nie dotyczy:</w:t>
      </w:r>
    </w:p>
    <w:p w14:paraId="21DEC4BA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</w:t>
      </w:r>
      <w:r>
        <w:rPr>
          <w:color w:val="000000"/>
          <w:u w:color="000000"/>
        </w:rPr>
        <w:t>mpa, zadaszenie,</w:t>
      </w:r>
    </w:p>
    <w:p w14:paraId="7A2DE577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 ogniomur,</w:t>
      </w:r>
    </w:p>
    <w:p w14:paraId="4DC8F48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3159A0E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567EB12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zewnętrznych warstw izolacji </w:t>
      </w:r>
      <w:r>
        <w:rPr>
          <w:color w:val="000000"/>
          <w:u w:color="000000"/>
        </w:rPr>
        <w:t>termicznej, okładzin oraz zewnętrznych elementów komunikacji pionowej, takich jak klatki schodowe i szyby windowe – wyłącznie w przypadku zabudowy istniejącej;</w:t>
      </w:r>
    </w:p>
    <w:p w14:paraId="555F334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zabudowy równoległej – rodzaj linii zabudowy nieprzekraczalnej, z nakazem lokalizowania</w:t>
      </w:r>
      <w:r>
        <w:rPr>
          <w:color w:val="000000"/>
          <w:u w:color="000000"/>
        </w:rPr>
        <w:t xml:space="preserve"> minimum 70% powierzchni ściany frontowej budynku wzdłuż tej linii lub równolegle do niej w odległości maksimum 2 m;</w:t>
      </w:r>
    </w:p>
    <w:p w14:paraId="4040272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miejsce zmiany rodzaju linii zabudowy – wskazany na rysunku planu punkt, w którym następuje zmiana rodzaju linii zabudowy;</w:t>
      </w:r>
    </w:p>
    <w:p w14:paraId="7829F72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nadzór arc</w:t>
      </w:r>
      <w:r>
        <w:rPr>
          <w:color w:val="000000"/>
          <w:u w:color="000000"/>
        </w:rPr>
        <w:t>heologiczny – rodzaj badań archeologicznych polegających na obserwacji i analizie nawarstwień w wykopach budowlanych podczas realizacji robót ziemnych lub przy dokonywaniu zmiany charakteru dotychczasowej działalności wiążącej się z naruszeniem struktury g</w:t>
      </w:r>
      <w:r>
        <w:rPr>
          <w:color w:val="000000"/>
          <w:u w:color="000000"/>
        </w:rPr>
        <w:t>runtu;</w:t>
      </w:r>
    </w:p>
    <w:p w14:paraId="7CFA742B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podniesienie standardów jakości użytkowania – działania budowlane przy budynkach istniejących obejmujące dobudowę: ciągów komunikacji pionowej, łączników między budynkami, tarasów, werand, ogrodów zimowych;</w:t>
      </w:r>
    </w:p>
    <w:p w14:paraId="2F47850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przepisy odrębne – przepisy prawa </w:t>
      </w:r>
      <w:r>
        <w:rPr>
          <w:color w:val="000000"/>
          <w:u w:color="000000"/>
        </w:rPr>
        <w:t>powszechnie obowiązującego, w szczególności ustawy i rozporządzenia, a także akty prawa miejscowego obowiązujące na obszarze miasta Łodzi;</w:t>
      </w:r>
    </w:p>
    <w:p w14:paraId="65C7AE5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przeznaczenie terenu – obiekty budowlane i urządzenia budowlane oraz zagospodarowanie tworzące całość funkcjonaln</w:t>
      </w:r>
      <w:r>
        <w:rPr>
          <w:color w:val="000000"/>
          <w:u w:color="000000"/>
        </w:rPr>
        <w:t>ą, określone ustaleniami planu na danym terenie, odpowiednio:</w:t>
      </w:r>
    </w:p>
    <w:p w14:paraId="38792EE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</w:t>
      </w:r>
    </w:p>
    <w:p w14:paraId="1C093D32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podstawowe;</w:t>
      </w:r>
    </w:p>
    <w:p w14:paraId="297D6282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specjalistyczne gospod</w:t>
      </w:r>
      <w:r>
        <w:rPr>
          <w:color w:val="000000"/>
          <w:u w:color="000000"/>
        </w:rPr>
        <w:t>arstwo produkcji zwierzęcej – gospodarstwo hodowlane o cechach przedsiębiorstwa, którego przedmiotem działalności jest wychów, utrzymanie, opasanie zwierząt w celu pozyskania żywca rzeźnego bądź produktów zwierzęcych, takich jak: mleko, jaja, skóry, futra;</w:t>
      </w:r>
    </w:p>
    <w:p w14:paraId="4A38E9A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strefa ochrony archeologicznej – rodzaj strefy ochrony konserwatorskiej obejmującej obszar, na którym zlokalizowane są zabytki archeologiczne lub istnieje uzasadnione podejrzenie, że mogą się one na nim znajdować;</w:t>
      </w:r>
    </w:p>
    <w:p w14:paraId="04693A2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system NCS – system opisu barw pu</w:t>
      </w:r>
      <w:r>
        <w:rPr>
          <w:color w:val="000000"/>
          <w:u w:color="000000"/>
        </w:rPr>
        <w:t>blikowany w formie wzorników kolorów; oznaczenie koloru składa się z napisu „NCS S”, czterech cyfr, z których dwie pierwsze oznaczają procentową zawartość czerni, kolejne dwie - poziom chromatyczności oraz, po myślniku, symbol koloru oznaczającego procento</w:t>
      </w:r>
      <w:r>
        <w:rPr>
          <w:color w:val="000000"/>
          <w:u w:color="000000"/>
        </w:rPr>
        <w:t>wą zawartość kolorów (żółtego – Y, czerwonego – R, niebieskiego – B, zielonego - G) lub kolor neutralny (N);</w:t>
      </w:r>
    </w:p>
    <w:p w14:paraId="53E9061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system RAL – system opisu barw publikowany w formie wzorników kolorów; oznaczenie koloru składa się z napisu „RAL” oraz czterech cyfr, z któryc</w:t>
      </w:r>
      <w:r>
        <w:rPr>
          <w:color w:val="000000"/>
          <w:u w:color="000000"/>
        </w:rPr>
        <w:t>h pierwsze dwie oznaczają przynależność koloru do umownie określonych grup odcieni (np. RAL10xx – grupa odcieni żółtych, RAL90xx – grupa odcieni białych i czarnych);</w:t>
      </w:r>
    </w:p>
    <w:p w14:paraId="2D9BA05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 xml:space="preserve">teren – wydzielone liniami rozgraniczającymi lub liniami granic opracowania planu </w:t>
      </w:r>
      <w:r>
        <w:rPr>
          <w:color w:val="000000"/>
          <w:u w:color="000000"/>
        </w:rPr>
        <w:t>nieruchomości lub ich części, oznaczone symbolami liczbowymi i literowymi, z których liczby oznaczają numer porządkowy terenu, a litery podstawowe przeznaczenie terenu, a w przypadku terenów dróg publicznych – także klasę techniczną drogi;</w:t>
      </w:r>
    </w:p>
    <w:p w14:paraId="4662C002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uchwała – ni</w:t>
      </w:r>
      <w:r>
        <w:rPr>
          <w:color w:val="000000"/>
          <w:u w:color="000000"/>
        </w:rPr>
        <w:t>niejsza uchwała Rady Miejskiej w Łodzi;</w:t>
      </w:r>
    </w:p>
    <w:p w14:paraId="556CF27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usługi lokalne – nieuciążliwe usługi z zakresu: oświaty, wychowania, ochrony zdrowia, opieki społecznej i socjalnej, pielęgnacji urody, kultury, rekreacji, turystyki, zamieszkania zbiorowego, gastronomii, adminis</w:t>
      </w:r>
      <w:r>
        <w:rPr>
          <w:color w:val="000000"/>
          <w:u w:color="000000"/>
        </w:rPr>
        <w:t>tracji, biurowości, finansów oraz działalności rzemieślniczej;</w:t>
      </w:r>
    </w:p>
    <w:p w14:paraId="4F9F25C9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usługi uciążliwe – działalność usługowa powodująca przekroczenie standardów jakości środowiska obowiązujących dla przeznaczenia podstawowego terenu;</w:t>
      </w:r>
    </w:p>
    <w:p w14:paraId="27796657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ustawa – ustawa z dnia 27 marca 2003</w:t>
      </w:r>
      <w:r>
        <w:rPr>
          <w:color w:val="000000"/>
          <w:u w:color="000000"/>
        </w:rPr>
        <w:t> r. o planowaniu i zagospodarowaniu przestrzennym, o ile z treści przepisu nie wynika inaczej;</w:t>
      </w:r>
    </w:p>
    <w:p w14:paraId="7757D4AB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>wskaźnik powierzchni biologicznie czynnej – udział procentowy terenu biologicznie czynnego w powierzchni działki budowlanej;</w:t>
      </w:r>
    </w:p>
    <w:p w14:paraId="7F86A5B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23) </w:t>
      </w:r>
      <w:r>
        <w:rPr>
          <w:color w:val="000000"/>
          <w:u w:color="000000"/>
        </w:rPr>
        <w:t>wskaźnik powierzchni zabudow</w:t>
      </w:r>
      <w:r>
        <w:rPr>
          <w:color w:val="000000"/>
          <w:u w:color="000000"/>
        </w:rPr>
        <w:t>y – udział procentowy powierzchni wyznaczonej przez rzuty pionowe części naziemnych wszystkich budynków w ich obrysie zewnętrznym w powierzchni działki budowlanej;</w:t>
      </w:r>
    </w:p>
    <w:p w14:paraId="6B917384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24) </w:t>
      </w:r>
      <w:r>
        <w:rPr>
          <w:color w:val="000000"/>
          <w:u w:color="000000"/>
        </w:rPr>
        <w:t>wysokość zabudowy – określona w metrach wysokość obiektu budowlanego mierzona od najniżs</w:t>
      </w:r>
      <w:r>
        <w:rPr>
          <w:color w:val="000000"/>
          <w:u w:color="000000"/>
        </w:rPr>
        <w:t>zego poziomu gruntu w miejscu jego lokalizacji do najwyższego punktu jego konstrukcji, a dla budynków - do najwyższego punktu dachu;</w:t>
      </w:r>
    </w:p>
    <w:p w14:paraId="460974C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25) </w:t>
      </w:r>
      <w:r>
        <w:rPr>
          <w:color w:val="000000"/>
          <w:u w:color="000000"/>
        </w:rPr>
        <w:t>zabudowa frontowa – zabudowa o funkcji określonej przeznaczeniem podstawowym terenu, lokalizowana na działce budowlanej</w:t>
      </w:r>
      <w:r>
        <w:rPr>
          <w:color w:val="000000"/>
          <w:u w:color="000000"/>
        </w:rPr>
        <w:t xml:space="preserve"> od strony przestrzeni publicznej, która nie obejmuje obiektów pomocniczych, gospodarczych i technicznych;</w:t>
      </w:r>
    </w:p>
    <w:p w14:paraId="73D1F0C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26) </w:t>
      </w:r>
      <w:r>
        <w:rPr>
          <w:color w:val="000000"/>
          <w:u w:color="000000"/>
        </w:rPr>
        <w:t>zabudowa istniejąca – budynki istniejące w dniu wejścia w życie planu, a także budynki posiadające w tej dacie prawo do realizacji na podstawie o</w:t>
      </w:r>
      <w:r>
        <w:rPr>
          <w:color w:val="000000"/>
          <w:u w:color="000000"/>
        </w:rPr>
        <w:t>statecznej decyzji o pozwoleniu na budowę lub zgłoszenia, o którym mowa w przepisach odrębnych z zakresu prawa budowlanego.</w:t>
      </w:r>
    </w:p>
    <w:p w14:paraId="580FC1A3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</w:t>
      </w:r>
      <w:r>
        <w:rPr>
          <w:color w:val="000000"/>
          <w:u w:color="000000"/>
        </w:rPr>
        <w:t>anymi w treści niniejszej uchwały, należy rozumieć w sposób określony w ustawie lub w tych przepisach, a w przypadku braku definicji – w rozumieniu powszechnym.</w:t>
      </w:r>
    </w:p>
    <w:p w14:paraId="6F846A0C" w14:textId="77777777" w:rsidR="00A77B3E" w:rsidRDefault="00F12DE7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45E53469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</w:t>
      </w:r>
      <w:r>
        <w:rPr>
          <w:color w:val="000000"/>
          <w:u w:color="000000"/>
        </w:rPr>
        <w:t>ony i kształtowania ładu przestrzennego:</w:t>
      </w:r>
    </w:p>
    <w:p w14:paraId="0518894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14:paraId="1956EFD7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ochronę układu urbanistycznego osiedla Nowosolna poprzez kształtowanie zabudowy i zieleni,</w:t>
      </w:r>
    </w:p>
    <w:p w14:paraId="373BC16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ochronę naturalnego obniżenia dolinnego</w:t>
      </w:r>
      <w:r>
        <w:rPr>
          <w:color w:val="000000"/>
          <w:u w:color="000000"/>
        </w:rPr>
        <w:t xml:space="preserve"> rzeki Miazgi,</w:t>
      </w:r>
    </w:p>
    <w:p w14:paraId="0A7866E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ochronę i kształtowanie mieszkaniowego charakteru osiedla Nowosolna poprzez budowę jego obwodnicy;</w:t>
      </w:r>
    </w:p>
    <w:p w14:paraId="480FE8B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przeznaczenia terenów zakaz lokalizacji:</w:t>
      </w:r>
    </w:p>
    <w:p w14:paraId="255F443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obiektów handlowych o powierzchni sprzedaży równej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większej,</w:t>
      </w:r>
    </w:p>
    <w:p w14:paraId="52C8D15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usług </w:t>
      </w:r>
      <w:r>
        <w:rPr>
          <w:color w:val="000000"/>
          <w:u w:color="000000"/>
        </w:rPr>
        <w:t>uciążliwych,</w:t>
      </w:r>
    </w:p>
    <w:p w14:paraId="7D14BF63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usług w zakresie obsługi komunikacji takich jak: warsztaty samochodowe i stacje obsługi samochodów powyżej 2 stanowisk dla samochodów, stacje paliw i myjnie samochodowe,</w:t>
      </w:r>
    </w:p>
    <w:p w14:paraId="1FFF3AAB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specjalistycznych gospodarstw produkcji zwierzęcej,</w:t>
      </w:r>
    </w:p>
    <w:p w14:paraId="1D7A75C9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punktów zbie</w:t>
      </w:r>
      <w:r>
        <w:rPr>
          <w:color w:val="000000"/>
          <w:u w:color="000000"/>
        </w:rPr>
        <w:t>rania i przetwarzania odpadów, w tym złomu;</w:t>
      </w:r>
    </w:p>
    <w:p w14:paraId="7E05545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2D809F63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lokalizacji obiektów pomocniczych, gospodarczych i technicznych w odległości mniejszej niż 10 m od linii zabudowy wyznaczonej od strony terenu oznaczonego symbolem </w:t>
      </w:r>
      <w:r>
        <w:rPr>
          <w:color w:val="000000"/>
          <w:u w:color="000000"/>
        </w:rPr>
        <w:t>1KDZ,</w:t>
      </w:r>
    </w:p>
    <w:p w14:paraId="3A6F6B7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istniejącej, o funkcji niezgodnej z przeznaczeniem terenu, dopuszczenie remontu i przebudowy,</w:t>
      </w:r>
    </w:p>
    <w:p w14:paraId="5F7A672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zabudowy istniejącej o funkcji zgodnej z przeznaczeniem terenu, a niespełniającej wymagań dotyczących linii zabudowy:</w:t>
      </w:r>
    </w:p>
    <w:p w14:paraId="75D53D54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</w:t>
      </w:r>
      <w:r>
        <w:rPr>
          <w:color w:val="000000"/>
          <w:u w:color="000000"/>
        </w:rPr>
        <w:t>j w całości poza liniami zabudowy – dopuszczenie remontu lub przebudowy oraz wykonania innych robót budowlanych polegających na doprowadzeniu do zgodności z przepisami odrębnymi z zakresu budownictwa lub podniesieniu standardów jakości użytkowania,</w:t>
      </w:r>
    </w:p>
    <w:p w14:paraId="109EB5C1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</w:t>
      </w:r>
      <w:r>
        <w:rPr>
          <w:color w:val="000000"/>
          <w:u w:color="000000"/>
        </w:rPr>
        <w:t>lizowanej w części poza liniami zabudowy – dopuszczenie remontu, przebudowy i nadbudowy do parametrów określonych w planie, rozbudowy uwzględniającej wyznaczone na rysunku planu linie zabudowy oraz wykonania innych robót budowlanych polegających na doprowa</w:t>
      </w:r>
      <w:r>
        <w:rPr>
          <w:color w:val="000000"/>
          <w:u w:color="000000"/>
        </w:rPr>
        <w:t>dzeniu do zgodności z przepisami odrębnymi z zakresu budownictwa lub podniesieniu standardów jakości użytkowania,</w:t>
      </w:r>
    </w:p>
    <w:p w14:paraId="33AF78DE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– dopuszczenie remontu, przebudowy, nadbudowy i rozbudowy, bez konieczności jej realizacji w linii z</w:t>
      </w:r>
      <w:r>
        <w:rPr>
          <w:color w:val="000000"/>
          <w:u w:color="000000"/>
        </w:rPr>
        <w:t>abudowy równoległej;</w:t>
      </w:r>
    </w:p>
    <w:p w14:paraId="6DBCA8A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 zakresie wskaźników i parametrów zabudowy:</w:t>
      </w:r>
    </w:p>
    <w:p w14:paraId="799DE301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 obiektów budowlanych niewskazanych w ustaleniach szczegółowych dla terenów, określa się maksymalną wysokość zabudowy – 30,0 m,</w:t>
      </w:r>
    </w:p>
    <w:p w14:paraId="391A9852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istniejącej o funkcji zgodnej z przez</w:t>
      </w:r>
      <w:r>
        <w:rPr>
          <w:color w:val="000000"/>
          <w:u w:color="000000"/>
        </w:rPr>
        <w:t>naczeniem terenu, a niespełniającej wymagań dotyczących wskaźników i parametrów zabudowy określonych w ustaleniach szczegółowych:</w:t>
      </w:r>
    </w:p>
    <w:p w14:paraId="4C525E7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przekraczającej maksymalną intensywność, maksymalną powierzchnię zabudowy lub maksymalną wysokość zabudowy – dopuszczenie re</w:t>
      </w:r>
      <w:r>
        <w:rPr>
          <w:color w:val="000000"/>
          <w:u w:color="000000"/>
        </w:rPr>
        <w:t>montu lub przebudowy oraz wykonania innych robót budowlanych polegających na doprowadzeniu do zgodności z przepisami odrębnymi z zakresu budownictwa lub podniesieniu standardów jakości użytkowania,</w:t>
      </w:r>
    </w:p>
    <w:p w14:paraId="0EFF3C40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nieosiągającej minimalnej intensywności – dopuszczenie r</w:t>
      </w:r>
      <w:r>
        <w:rPr>
          <w:color w:val="000000"/>
          <w:u w:color="000000"/>
        </w:rPr>
        <w:t>emontu lub przebudowy oraz wykonania innych robót budowlanych polegających na doprowadzeniu do zgodności z przepisami odrębnymi z zakresu budownictwa lub podniesieniu standardów jakości użytkowania bez konieczności osiągnięcia parametrów określonych w plan</w:t>
      </w:r>
      <w:r>
        <w:rPr>
          <w:color w:val="000000"/>
          <w:u w:color="000000"/>
        </w:rPr>
        <w:t>ie,</w:t>
      </w:r>
    </w:p>
    <w:p w14:paraId="70B71320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dopuszczenie zachowania kształtu dachu niezgodnego z parametrami określonymi w ustaleniach szczegółowych dla terenów zawartych w rozdziale 3 w przypadku prowadzenia robót budowlanych polegających na rozbudowie zabudowy istniejącej;</w:t>
      </w:r>
    </w:p>
    <w:p w14:paraId="3A65B573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kszt</w:t>
      </w:r>
      <w:r>
        <w:rPr>
          <w:color w:val="000000"/>
          <w:u w:color="000000"/>
        </w:rPr>
        <w:t>ałtowania zabudowy:</w:t>
      </w:r>
    </w:p>
    <w:p w14:paraId="6AEEDC4F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ścian bez okien lub drzwi od strony granicy z terenami przestrzeni publicznej w odległości mniejszej niż 10,0 m od linii zabudowy,</w:t>
      </w:r>
    </w:p>
    <w:p w14:paraId="6886B33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kalenicowych lokalizowanych zgodnie z linią zabudowy równo</w:t>
      </w:r>
      <w:r>
        <w:rPr>
          <w:color w:val="000000"/>
          <w:u w:color="000000"/>
        </w:rPr>
        <w:t>ległej – nakaz kształtowania kierunku głównej kalenicy dachu równolegle do tej linii;</w:t>
      </w:r>
    </w:p>
    <w:p w14:paraId="129724C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kolorystyki oraz materiałów wykończeniowych elewacji i dachów:</w:t>
      </w:r>
    </w:p>
    <w:p w14:paraId="4B6A6BD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tynku</w:t>
      </w:r>
      <w:r>
        <w:rPr>
          <w:color w:val="000000"/>
          <w:u w:color="000000"/>
        </w:rPr>
        <w:t>, kamienia, betonu architektonicznego, metalu, włókno-cementu, ceramiki budowlanej, drewna, szkła,</w:t>
      </w:r>
    </w:p>
    <w:p w14:paraId="4CB7DB8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14:paraId="446D2A93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materiałów wykończeniowych,</w:t>
      </w:r>
    </w:p>
    <w:p w14:paraId="2B071827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 powierzchni malowanych lub st</w:t>
      </w:r>
      <w:r>
        <w:rPr>
          <w:color w:val="000000"/>
          <w:u w:color="000000"/>
        </w:rPr>
        <w:t>ruktur barwionych – odpowiadających w systemie NCS barwom 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2284"/>
        <w:gridCol w:w="2525"/>
        <w:gridCol w:w="1608"/>
        <w:gridCol w:w="1834"/>
      </w:tblGrid>
      <w:tr w:rsidR="00185B57" w14:paraId="729F2396" w14:textId="77777777">
        <w:tc>
          <w:tcPr>
            <w:tcW w:w="10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A366656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System i edycja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400C6BD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Zawartość czerni</w:t>
            </w:r>
          </w:p>
          <w:p w14:paraId="4CD4FDCD" w14:textId="77777777" w:rsidR="00185B57" w:rsidRDefault="00F12DE7">
            <w:pPr>
              <w:jc w:val="center"/>
            </w:pPr>
            <w:r>
              <w:rPr>
                <w:sz w:val="22"/>
              </w:rPr>
              <w:t>(dwie pierwsze cyfry)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21983B5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Poziom chromatyczności</w:t>
            </w:r>
          </w:p>
          <w:p w14:paraId="47DE6F40" w14:textId="77777777" w:rsidR="00185B57" w:rsidRDefault="00F12DE7">
            <w:pPr>
              <w:jc w:val="center"/>
            </w:pPr>
            <w:r>
              <w:rPr>
                <w:sz w:val="22"/>
              </w:rPr>
              <w:t>(dwie kolejne cyfry)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B5EC271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Symbol koloru</w:t>
            </w:r>
          </w:p>
          <w:p w14:paraId="3D563ADF" w14:textId="77777777" w:rsidR="00185B57" w:rsidRDefault="00F12DE7">
            <w:pPr>
              <w:jc w:val="center"/>
            </w:pPr>
            <w:r>
              <w:rPr>
                <w:sz w:val="22"/>
              </w:rPr>
              <w:t>(po myślniku)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01D6457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Opis barw</w:t>
            </w:r>
          </w:p>
        </w:tc>
      </w:tr>
      <w:tr w:rsidR="00185B57" w14:paraId="7ECC00D0" w14:textId="77777777">
        <w:tc>
          <w:tcPr>
            <w:tcW w:w="10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E25245B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NCS 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1F0A26E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maks. 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7943AF8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maks. 02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CA6E9E0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Y, N, G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A670F8B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neutralne, biele, szarości, grafity</w:t>
            </w:r>
          </w:p>
        </w:tc>
      </w:tr>
    </w:tbl>
    <w:p w14:paraId="73482A0A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dachów innych niż płaskie – nakaz stosowania pokrycia wyłącznie w postaci:</w:t>
      </w:r>
    </w:p>
    <w:p w14:paraId="3281B2D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blachy dachowej, materiału bitumicznego lub dachówki - w kolorze ceglastym, brązowym, szarym, grafitowym lub </w:t>
      </w:r>
      <w:r>
        <w:rPr>
          <w:color w:val="000000"/>
          <w:u w:color="000000"/>
        </w:rPr>
        <w:t>naturalnym,</w:t>
      </w:r>
    </w:p>
    <w:p w14:paraId="34B71A5B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szkła;</w:t>
      </w:r>
    </w:p>
    <w:p w14:paraId="6F7AE1A2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urządzeń technicznych:</w:t>
      </w:r>
    </w:p>
    <w:p w14:paraId="582EF61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umieszczania na elewacjach frontowych elementów technicznego wyposażenia budynków takich jak: klimatyzatory, anteny, przewody kominowe, za wyjątkiem instalacji służących ilumi</w:t>
      </w:r>
      <w:r>
        <w:rPr>
          <w:color w:val="000000"/>
          <w:u w:color="000000"/>
        </w:rPr>
        <w:t>nacji budynków,</w:t>
      </w:r>
    </w:p>
    <w:p w14:paraId="1CA4B6E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na połaciach dachowych widocznych od strony terenów przestrzeni publicznej urządzeń technicznych służących wentylacji i klimatyzacji oraz masztów telekomunikacyjnych,</w:t>
      </w:r>
    </w:p>
    <w:p w14:paraId="76090212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skrzynek przyłączy inf</w:t>
      </w:r>
      <w:r>
        <w:rPr>
          <w:color w:val="000000"/>
          <w:u w:color="000000"/>
        </w:rPr>
        <w:t>rastruktury technicznej na elewacjach frontowych lub ogrodzeniach, wyłącznie jako wbudowanych w ścianę lub ogrodzenie oraz pod warunkiem zastosowania kolorystyki dla widocznej części skrzynek odpowiadającej barwie elewacji lub ogrodzenia, w które są wbudow</w:t>
      </w:r>
      <w:r>
        <w:rPr>
          <w:color w:val="000000"/>
          <w:u w:color="000000"/>
        </w:rPr>
        <w:t>ane, lub w kolorze grafitowym odpowiadającym barwie 7016 w systemie RAL lub w kolorze, który określają przepisy odrębne,</w:t>
      </w:r>
    </w:p>
    <w:p w14:paraId="52A1640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zakładania na obiektach budowlanych usytuowanych przy granicy z terenami dróg publicznych znaków i sygnałów drogowych l</w:t>
      </w:r>
      <w:r>
        <w:rPr>
          <w:color w:val="000000"/>
          <w:u w:color="000000"/>
        </w:rPr>
        <w:t>ub innych urządzeń bezpieczeństwa ruchu drogowego, urządzeń służących do zapewnienia bezpieczeństwa publicznego, a także urządzeń niezbędnych do korzystania z nich, w rozumieniu przepisów odrębnych z zakresu gospodarki nieruchomościami;</w:t>
      </w:r>
    </w:p>
    <w:p w14:paraId="148815C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powie</w:t>
      </w:r>
      <w:r>
        <w:rPr>
          <w:color w:val="000000"/>
          <w:u w:color="000000"/>
        </w:rPr>
        <w:t>rzchni nowo wydzielonych działek budowlanych obowiązują parametry określone w ustaleniach szczegółowych tekstu planu, z wyjątkiem:</w:t>
      </w:r>
    </w:p>
    <w:p w14:paraId="43B8189B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wydzielonych pod drogi publiczne oraz wewnętrzne, poszerzenie dróg istniejących i pod urządzenia infrastruktury te</w:t>
      </w:r>
      <w:r>
        <w:rPr>
          <w:color w:val="000000"/>
          <w:u w:color="000000"/>
        </w:rPr>
        <w:t>chnicznej,</w:t>
      </w:r>
    </w:p>
    <w:p w14:paraId="0894DDAF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powstałych w wyniku podziałów prowadzonych po wyznaczonych na rysunku planu liniach rozgraniczających.</w:t>
      </w:r>
    </w:p>
    <w:p w14:paraId="52094137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wymagania wynikające z potrzeb kształtowania przestrzeni publicznych, do których na obszarze planu należą tereny oz</w:t>
      </w:r>
      <w:r>
        <w:rPr>
          <w:color w:val="000000"/>
          <w:u w:color="000000"/>
        </w:rPr>
        <w:t>naczone symbolami KDG i KDZ, polegające na nakazie stosowania rozwiązań technicznych uwzględniających potrzeby osób ze szczególnymi potrzebami.</w:t>
      </w:r>
    </w:p>
    <w:p w14:paraId="4817AF20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zasady kształtowania krajobraz</w:t>
      </w:r>
      <w:r>
        <w:rPr>
          <w:color w:val="000000"/>
          <w:u w:color="000000"/>
        </w:rPr>
        <w:t>u:</w:t>
      </w:r>
    </w:p>
    <w:p w14:paraId="4FA637C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lokalizacji:</w:t>
      </w:r>
    </w:p>
    <w:p w14:paraId="36B72011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przedsięwzięć mogących zawsze znacząco oddziaływać na środowisko,</w:t>
      </w:r>
    </w:p>
    <w:p w14:paraId="2A56044B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przedsięwzięć mogących potencjalnie znacząco oddziaływać na środowisko, za wyjątkiem:</w:t>
      </w:r>
    </w:p>
    <w:p w14:paraId="40EF7C1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zespołów zabudowy mieszkaniowej, usługowej,</w:t>
      </w:r>
    </w:p>
    <w:p w14:paraId="3E78B688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zalesień,</w:t>
      </w:r>
    </w:p>
    <w:p w14:paraId="37FF4504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melioracji,</w:t>
      </w:r>
    </w:p>
    <w:p w14:paraId="57077A7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</w:t>
      </w:r>
      <w:r>
        <w:t> </w:t>
      </w:r>
      <w:r>
        <w:rPr>
          <w:color w:val="000000"/>
          <w:u w:color="000000"/>
        </w:rPr>
        <w:t>przedsięwzięć dotyczących infrastruktury technicznej oraz dróg;</w:t>
      </w:r>
    </w:p>
    <w:p w14:paraId="54F273D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mikroinstalacji, o których mowa w przepisach odrębnych z zakresu odnawialnych źródeł energii;</w:t>
      </w:r>
    </w:p>
    <w:p w14:paraId="74539B1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zieleni:</w:t>
      </w:r>
    </w:p>
    <w:p w14:paraId="46715E81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zapewnienia </w:t>
      </w:r>
      <w:r>
        <w:rPr>
          <w:color w:val="000000"/>
          <w:u w:color="000000"/>
        </w:rPr>
        <w:t>ciągłości korytarza ekologicznego, wskazanego na rysunku planu jako zasięg doliny rzeki Miazgi, w zakresie swobodnego przepływu mas powietrza oraz migracji roślin i zwierząt,</w:t>
      </w:r>
    </w:p>
    <w:p w14:paraId="064347AB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likwidowania i niszczenia zadrzewień nadwodnych z wyjątkiem działań wyni</w:t>
      </w:r>
      <w:r>
        <w:rPr>
          <w:color w:val="000000"/>
          <w:u w:color="000000"/>
        </w:rPr>
        <w:t>kających z potrzeby zapewnienia przepływu wód powierzchniowych, a także budowy, odbudowy, utrzymania i remontów lub napraw urządzeń wodnych oraz prawidłowego funkcjonowania istniejącej infrastruktury technicznej;</w:t>
      </w:r>
    </w:p>
    <w:p w14:paraId="5E21259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w zakresie gospodarki wodnej </w:t>
      </w:r>
      <w:r>
        <w:rPr>
          <w:color w:val="000000"/>
          <w:u w:color="000000"/>
        </w:rPr>
        <w:t>i odprowadzania ścieków – nakaz stosowania kompleksowych rozwiązań poprzez:</w:t>
      </w:r>
    </w:p>
    <w:p w14:paraId="38AAF93A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do wszystkich terenów przeznaczonych na cele zabudowy,</w:t>
      </w:r>
    </w:p>
    <w:p w14:paraId="1227FFD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</w:t>
      </w:r>
      <w:r>
        <w:rPr>
          <w:color w:val="000000"/>
          <w:u w:color="000000"/>
        </w:rPr>
        <w:t>icznej odbioru wód opadowych i roztopowych dla terenów przeznaczonych na cele zabudowy i dróg;</w:t>
      </w:r>
    </w:p>
    <w:p w14:paraId="238E7F73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wód:</w:t>
      </w:r>
    </w:p>
    <w:p w14:paraId="2CBC15E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utrzymania istniejących cieków jako cieków otwartych,</w:t>
      </w:r>
    </w:p>
    <w:p w14:paraId="46A1F2F3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stosunków wodnych, jeżeli zmiany te nie wyni</w:t>
      </w:r>
      <w:r>
        <w:rPr>
          <w:color w:val="000000"/>
          <w:u w:color="000000"/>
        </w:rPr>
        <w:t>kają z działań na rzecz ochrony przyrody albo racjonalnej gospodarki rolnej, leśnej lub wodnej,</w:t>
      </w:r>
    </w:p>
    <w:p w14:paraId="4DF2238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wykonywania robót polegających na zasypywaniu i likwidacji cieków wodnych, stawów oraz rowów melioracyjnych spełniających rolę odbiorników wód powierzc</w:t>
      </w:r>
      <w:r>
        <w:rPr>
          <w:color w:val="000000"/>
          <w:u w:color="000000"/>
        </w:rPr>
        <w:t>hniowych, z dopuszczeniem ich przebudowy i rozbudowy spowodowanej realizacją inwestycji celu publicznego,</w:t>
      </w:r>
    </w:p>
    <w:p w14:paraId="5D4AB8C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nakaz stosowania rozwiązań umożliwiających wykorzystanie lub retencjonowanie nadmiaru wód opadowych i roztopowych w miejscu ich powstania, z dopusz</w:t>
      </w:r>
      <w:r>
        <w:rPr>
          <w:color w:val="000000"/>
          <w:u w:color="000000"/>
        </w:rPr>
        <w:t>czeniem odprowadzenia ich do odbiornika na warunkach określonych w przepisach odrębnych dotyczących zbiorowego zaopatrzenia w wodę i zbiorowego odprowadzania ścieków oraz prawa wodnego, a także budownictwa,</w:t>
      </w:r>
    </w:p>
    <w:p w14:paraId="16A095D9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zakaz stosowania rozwiązań technicznych stwarz</w:t>
      </w:r>
      <w:r>
        <w:rPr>
          <w:color w:val="000000"/>
          <w:u w:color="000000"/>
        </w:rPr>
        <w:t>ających możliwość zanieczyszczenia wód;</w:t>
      </w:r>
    </w:p>
    <w:p w14:paraId="29A16599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– zakaz stosowania źródeł zaopatrzenia w ciepło powodujących emisję substancji przekraczającą dopuszczalne normy;</w:t>
      </w:r>
    </w:p>
    <w:p w14:paraId="2FC3682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hałasem:</w:t>
      </w:r>
    </w:p>
    <w:p w14:paraId="767FD4F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oznaczony na rysunku pla</w:t>
      </w:r>
      <w:r>
        <w:rPr>
          <w:color w:val="000000"/>
          <w:u w:color="000000"/>
        </w:rPr>
        <w:t>nu symbolem MN zalicza się do terenów chronionych akustycznie, określonych jako „tereny zabudowy mieszkaniowej jednorodzinnej”, w rozumieniu przepisów odrębnych dotyczących ochrony środowiska,</w:t>
      </w:r>
    </w:p>
    <w:p w14:paraId="211A136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terenach oznaczonych symbolem R/Zn istniejącą zabudowę:</w:t>
      </w:r>
    </w:p>
    <w:p w14:paraId="0066F9B7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mieszkaniową zalicza się do terenów chronionych akustycznie, określonych jako „tereny zabudowy mieszkaniowej jednorodzinnej”,</w:t>
      </w:r>
    </w:p>
    <w:p w14:paraId="098683CD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zagrodową zalicza się do terenów chronionych akustycznie, określonych jako „tereny zabudowy zagrodowej”</w:t>
      </w:r>
    </w:p>
    <w:p w14:paraId="087B0A4C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instrText>MERGEFIELD COMMONPART_OF</w:instrText>
      </w:r>
      <w:r>
        <w:rPr>
          <w:color w:val="000000"/>
          <w:u w:color="000000"/>
        </w:rPr>
        <w:instrText>_DASHES \* MERGEFORMAT</w:instrText>
      </w:r>
      <w:r>
        <w:rPr>
          <w:color w:val="000000"/>
          <w:u w:color="000000"/>
        </w:rPr>
        <w:fldChar w:fldCharType="separate"/>
      </w:r>
      <w:r>
        <w:t>– </w:t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w rozumieniu przepisów odrębnych dotyczących dopuszczalnych poziomów hałasu w środowisku;</w:t>
      </w:r>
    </w:p>
    <w:p w14:paraId="7346B7A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promieniowaniem elektromagnetycznym - zakaz lokalizacji infrastruktury technicznej, która powoduje przekroczeni</w:t>
      </w:r>
      <w:r>
        <w:rPr>
          <w:color w:val="000000"/>
          <w:u w:color="000000"/>
        </w:rPr>
        <w:t>e dopuszczalnych poziomów pól elektromagnetycznych w środowisku, określonych w przepisach odrębnych dotyczących ochrony środowiska w budynkach z pomieszczeniami przeznaczonymi na pobyt ludzi, w rozumieniu przepisów odrębnych dotyczących budownictwa;</w:t>
      </w:r>
    </w:p>
    <w:p w14:paraId="7B005922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</w:t>
      </w:r>
      <w:r>
        <w:rPr>
          <w:color w:val="000000"/>
          <w:u w:color="000000"/>
        </w:rPr>
        <w:t>akresie ochrony powierzchni ziemi oraz gospodarki odpadami – nakaz zapewnienia dla nieruchomości miejsca służącego do czasowego gromadzenia odpadów stałych, z uwzględnieniem wymogów wynikających z przepisów odrębnych dotyczących budownictwa oraz dotyczącyc</w:t>
      </w:r>
      <w:r>
        <w:rPr>
          <w:color w:val="000000"/>
          <w:u w:color="000000"/>
        </w:rPr>
        <w:t>h utrzymania czystości i porządku w gminie.</w:t>
      </w:r>
    </w:p>
    <w:p w14:paraId="576873FF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granice i sposoby zagospodarowania terenów lub obiektów podlegających ochronie, ustalonych na podstawie przepisów odrębnych oraz krajobrazów priorytetowych:</w:t>
      </w:r>
    </w:p>
    <w:p w14:paraId="5D36E73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na rysunku planu granic</w:t>
      </w:r>
      <w:r>
        <w:rPr>
          <w:color w:val="000000"/>
          <w:u w:color="000000"/>
        </w:rPr>
        <w:t>e „Krajobrazu Priorytetowego 10-318.82-132 - Kulminacja Wzniesień Łódzkich” wyznaczone w Audycie krajobrazowym województwa łódzkiego uchwalonym uchwałą Nr XIII/150/25 Sejmiku Województwa Łódzkiego z dnia 15 kwietnia 2025 r. w sprawie uchwalenia Audytu kraj</w:t>
      </w:r>
      <w:r>
        <w:rPr>
          <w:color w:val="000000"/>
          <w:u w:color="000000"/>
        </w:rPr>
        <w:t>obrazowego województwa łódzkiego;</w:t>
      </w:r>
    </w:p>
    <w:p w14:paraId="1E50D9D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sposób zagospodarowania terenów w granicach „Krajobrazu Priorytetowego 10-318.82-132 - Kulminacja Wzniesień Łódzkich” określa się poprzez ustalenia szczegółowe, uwzględniające rekomendacje i wnioski wynikające z Audytu </w:t>
      </w:r>
      <w:r>
        <w:rPr>
          <w:color w:val="000000"/>
          <w:u w:color="000000"/>
        </w:rPr>
        <w:t>krajobrazowego województwa łódzkiego dla „Krajobrazu Priorytetowego 10-318.82-132 - Kulminacja Wzniesień Łódzkich”.</w:t>
      </w:r>
    </w:p>
    <w:p w14:paraId="1EC1AAB4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następujące zasady ochrony dziedzictwa kulturowego i zabytków:</w:t>
      </w:r>
    </w:p>
    <w:p w14:paraId="06BE8B9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lokalizację zabytków archeologicznych oznaczo</w:t>
      </w:r>
      <w:r>
        <w:rPr>
          <w:color w:val="000000"/>
          <w:u w:color="000000"/>
        </w:rPr>
        <w:t>nych na rysunku planu i wymienionych w poniższej 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33"/>
        <w:gridCol w:w="1743"/>
        <w:gridCol w:w="2675"/>
        <w:gridCol w:w="1743"/>
      </w:tblGrid>
      <w:tr w:rsidR="00185B57" w14:paraId="33E776D3" w14:textId="77777777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6FCFACA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22DEB4D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Obszar AZP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6A8D398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Nr stanowiska w miejscowości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5CA5A44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Chronologia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EF5B9D7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Miejscowość</w:t>
            </w:r>
          </w:p>
        </w:tc>
      </w:tr>
      <w:tr w:rsidR="00185B57" w14:paraId="0817CF6F" w14:textId="77777777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1C65119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021FAC2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66-53/36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29DB3AC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702CD77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 xml:space="preserve">późne średniowiecze; </w:t>
            </w:r>
          </w:p>
          <w:p w14:paraId="31910B00" w14:textId="77777777" w:rsidR="00185B57" w:rsidRDefault="00F12DE7">
            <w:pPr>
              <w:jc w:val="center"/>
            </w:pPr>
            <w:r>
              <w:rPr>
                <w:sz w:val="22"/>
              </w:rPr>
              <w:t>nowożytność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45FBE64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Łódź Nowosolna</w:t>
            </w:r>
          </w:p>
        </w:tc>
      </w:tr>
      <w:tr w:rsidR="00185B57" w14:paraId="439CBE0F" w14:textId="77777777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47D8548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E6ED839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66-53/37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D69DDF8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1755614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 xml:space="preserve">późne średniowiecze; </w:t>
            </w:r>
            <w:r>
              <w:rPr>
                <w:sz w:val="22"/>
              </w:rPr>
              <w:t>nowożytność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D73EECB" w14:textId="77777777" w:rsidR="00A77B3E" w:rsidRDefault="00F12DE7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Łódź Nowosolna</w:t>
            </w:r>
          </w:p>
        </w:tc>
      </w:tr>
    </w:tbl>
    <w:p w14:paraId="6F3416E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obszarach lokalizacji zabytków archeologicznych, o których mowa w pkt 1, przy realizacji robót ziemnych lub dokonywaniu zmiany charakteru dotychczasowej działalności wiążącej się z naruszeniem struktury gruntu nakazuje się</w:t>
      </w:r>
      <w:r>
        <w:rPr>
          <w:color w:val="000000"/>
          <w:u w:color="000000"/>
        </w:rPr>
        <w:t xml:space="preserve"> przeprowadzenie badań archeologicznych, zgodnie z przepisami odrębnymi z zakresu ochrony zabytków i prawa budowlanego;</w:t>
      </w:r>
    </w:p>
    <w:p w14:paraId="3C5F3A0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wprowadza się strefy ochrony archeologicznej, oznaczone na rysunku planu, w których przy realizacji robót ziemnych lub dokonywaniu zm</w:t>
      </w:r>
      <w:r>
        <w:rPr>
          <w:color w:val="000000"/>
          <w:u w:color="000000"/>
        </w:rPr>
        <w:t>iany charakteru dotychczasowej działalności wiążącej się z naruszeniem struktury gruntu nakazuje się prowadzenie nadzoru archeologicznego na zasadach określonych w przepisach odrębnych z zakresu ochrony zabytków.</w:t>
      </w:r>
    </w:p>
    <w:p w14:paraId="2C426C5F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10. 1. </w:t>
      </w:r>
      <w:r>
        <w:rPr>
          <w:color w:val="000000"/>
          <w:u w:color="000000"/>
        </w:rPr>
        <w:t>Ustala się zasady i warunki scalan</w:t>
      </w:r>
      <w:r>
        <w:rPr>
          <w:color w:val="000000"/>
          <w:u w:color="000000"/>
        </w:rPr>
        <w:t>ia i podziału nieruchomości:</w:t>
      </w:r>
    </w:p>
    <w:p w14:paraId="0B44511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14:paraId="56E73A9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szczegółowe zasady i warunki scalania i podziału nieruchomości, dokonywanego na wniosek, określono w rozdziale </w:t>
      </w:r>
      <w:r>
        <w:rPr>
          <w:color w:val="000000"/>
          <w:u w:color="000000"/>
        </w:rPr>
        <w:t>3.</w:t>
      </w:r>
    </w:p>
    <w:p w14:paraId="7FBE9F65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scalania i podziału nieruchomości, określone w ustaleniach szczegółowych dla terenów zawartych w rozdziale 3 nie obowiązują dla działek gruntu wydzielonych pod nowe drogi, pod poszerzenie dróg istniej</w:t>
      </w:r>
      <w:r>
        <w:rPr>
          <w:color w:val="000000"/>
          <w:u w:color="000000"/>
        </w:rPr>
        <w:t>ących lub infrastrukturę techniczną.</w:t>
      </w:r>
    </w:p>
    <w:p w14:paraId="4EF5D3E9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szczególne warunki zagospodarowania terenów oraz ograniczenia w ich użytkowaniu – wynikające z przepisów odrębnych z zakresu lotnictwa: cały obszar planu obejmują powierzchnie ograniczające zabudowę (BR</w:t>
      </w:r>
      <w:r>
        <w:rPr>
          <w:color w:val="000000"/>
          <w:u w:color="000000"/>
        </w:rPr>
        <w:t>A) od lotniczych urządzeń naziemnych (LUN), z wyłączeniami oraz możliwością uzyskania odstępstwa od wymogów dotyczących powierzchni ograniczających zabudowę zgodnie z przepisami odrębnymi z zakresu lotnictwa.</w:t>
      </w:r>
    </w:p>
    <w:p w14:paraId="47CF72FA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następujące zasady modernizacj</w:t>
      </w:r>
      <w:r>
        <w:rPr>
          <w:color w:val="000000"/>
          <w:u w:color="000000"/>
        </w:rPr>
        <w:t>i, rozbudowy i budowy systemów komunikacji:</w:t>
      </w:r>
    </w:p>
    <w:p w14:paraId="7C7AB8C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element układu ponadregionalnego - teren autostrady, oznaczony symbolem 1KDA (autostrada A1);</w:t>
      </w:r>
    </w:p>
    <w:p w14:paraId="0B0FDA4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obsługę komunikacyjną oraz połączenie układu komunikacyjnego obszaru objętego planem z zewnętrznym układem </w:t>
      </w:r>
      <w:r>
        <w:rPr>
          <w:color w:val="000000"/>
          <w:u w:color="000000"/>
        </w:rPr>
        <w:t>komunikacyjnym, stanowią tereny:</w:t>
      </w:r>
    </w:p>
    <w:p w14:paraId="7A36895F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ulicy głównej, oznaczonej symbolem 1KDG (projektowana obwodnica osiedla Nowosolna),</w:t>
      </w:r>
    </w:p>
    <w:p w14:paraId="1940F3B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ulicy zbiorczej, oznaczonej symbolem 1KDZ (ul. Wiączyńska);</w:t>
      </w:r>
    </w:p>
    <w:p w14:paraId="6BD2135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budowy dróg wewnętrznych niewyznaczonych na rysunku planu</w:t>
      </w:r>
      <w:r>
        <w:rPr>
          <w:color w:val="000000"/>
          <w:u w:color="000000"/>
        </w:rPr>
        <w:t>, służących obsłudze ruchu z terenu ich lokalizacji, z zachowaniem:</w:t>
      </w:r>
    </w:p>
    <w:p w14:paraId="753CA700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drogi wyłącznie:</w:t>
      </w:r>
    </w:p>
    <w:p w14:paraId="32DFA668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radialnie względem wskazanego na rysunku planu okręgu pomocniczego, którego środek znajduje się w punkcie o współrzędnych geodezyjnych w układzie xy 2000 </w:t>
      </w:r>
      <w:r>
        <w:rPr>
          <w:color w:val="000000"/>
          <w:u w:color="000000"/>
        </w:rPr>
        <w:t>(x=5741161,19, y=6609664,92) lub</w:t>
      </w:r>
    </w:p>
    <w:p w14:paraId="48FFC3E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kierunku prostopadłym lub równoległym do jednej z dwóch najbliższych historycznych miedz oznaczonych na rysunku planu</w:t>
      </w:r>
    </w:p>
    <w:p w14:paraId="170BC393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instrText>MERGEFIELD COMMONPART_OF_DASHES \* MERGEFORMAT</w:instrText>
      </w:r>
      <w:r>
        <w:rPr>
          <w:color w:val="000000"/>
          <w:u w:color="000000"/>
        </w:rPr>
        <w:fldChar w:fldCharType="separate"/>
      </w:r>
      <w:r>
        <w:t>– </w:t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przy czym kierunki te określa się z tolerancją 3º,</w:t>
      </w:r>
    </w:p>
    <w:p w14:paraId="395A908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wymogów wynikających z przepisów odrębnych, w szczególności o przeciwpożarowym zaopatrzeniu w wodę oraz drogach pożarowych.</w:t>
      </w:r>
    </w:p>
    <w:p w14:paraId="626778BC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 liczbę miejsc do parkowania dla samochodów i rowerów dotyczącą nowo projektowanych budynków lub ich części:</w:t>
      </w:r>
    </w:p>
    <w:p w14:paraId="368FC18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 – minimum:</w:t>
      </w:r>
    </w:p>
    <w:p w14:paraId="43FF395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– 1 stanowisko na każde mieszkanie,</w:t>
      </w:r>
    </w:p>
    <w:p w14:paraId="3147C9C0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 – 1 stanowisko na 50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użytkowej;</w:t>
      </w:r>
    </w:p>
    <w:p w14:paraId="2A1389F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– minimum 1 stanowisko na 100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usług.</w:t>
      </w:r>
    </w:p>
    <w:p w14:paraId="4AA19470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rowerów należy określać:</w:t>
      </w:r>
    </w:p>
    <w:p w14:paraId="33C86B4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 kolejnej liczby całkowitej;</w:t>
      </w:r>
    </w:p>
    <w:p w14:paraId="2AC73292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ilości mi</w:t>
      </w:r>
      <w:r>
        <w:rPr>
          <w:color w:val="000000"/>
          <w:u w:color="000000"/>
        </w:rPr>
        <w:t>ejsc parkingowych dla równoczesnego użytkowania dla obiektów wielofunkcyjnych, zgodnie z wymogami określonymi w ust. 1.</w:t>
      </w:r>
    </w:p>
    <w:p w14:paraId="36EBC6FC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Na parkingach dla samochodów osobowych liczących więcej niż 5 miejsc przeznaczonych na postój pojazdów, minimum 4% ogólnej liczby mie</w:t>
      </w:r>
      <w:r>
        <w:rPr>
          <w:color w:val="000000"/>
          <w:u w:color="000000"/>
        </w:rPr>
        <w:t>jsc, lecz nie mniej niż 1 miejsce postojowe, przeznaczyć należy na parkowanie pojazdów zaopatrzonych w kartę parkingową, o której mowa w przepisach o ruchu drogowym, z zastrzeżeniem: dróg publicznych, stref zamieszkania i stref ruchu, dla których minimalną</w:t>
      </w:r>
      <w:r>
        <w:rPr>
          <w:color w:val="000000"/>
          <w:u w:color="000000"/>
        </w:rPr>
        <w:t xml:space="preserve"> liczbę stanowisk postojowych dla pojazdów zaopatrzonych w kartę parkingową określają przepisy odrębne dotyczące dróg publicznych.</w:t>
      </w:r>
    </w:p>
    <w:p w14:paraId="0E3D7104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14.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6625542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</w:t>
      </w:r>
      <w:r>
        <w:rPr>
          <w:color w:val="000000"/>
          <w:u w:color="000000"/>
        </w:rPr>
        <w:t>erenów w infrastrukturę techniczną w oparciu o istniejące systemy, ich przebudowę oraz budowę nowych systemów;</w:t>
      </w:r>
    </w:p>
    <w:p w14:paraId="411A7B17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nakaz lokalizacji nowej i rozbudowywanej infrastruktury technicznej jako podziemnej, z wyłączeniem napowietrznych linii elektroenergetycznych </w:t>
      </w:r>
      <w:r>
        <w:rPr>
          <w:color w:val="000000"/>
          <w:u w:color="000000"/>
        </w:rPr>
        <w:t>o napięciu 110 kV lub wyższym, stacji transformatorowych oraz elementów infrastruktury technicznej, które jedynie jako nadziemne mogą pełnić swoją funkcję.</w:t>
      </w:r>
    </w:p>
    <w:p w14:paraId="2FF10529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</w:t>
      </w:r>
      <w:r>
        <w:rPr>
          <w:color w:val="000000"/>
          <w:u w:color="000000"/>
        </w:rPr>
        <w:br/>
        <w:t>z układem zewnętr</w:t>
      </w:r>
      <w:r>
        <w:rPr>
          <w:color w:val="000000"/>
          <w:u w:color="000000"/>
        </w:rPr>
        <w:t>znym:</w:t>
      </w:r>
    </w:p>
    <w:p w14:paraId="4C5FCDA3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wodociągowa „STOKI” oraz ujęcia wody „Olkuska”, „Kasprowicza” i „Pomorska”;</w:t>
      </w:r>
    </w:p>
    <w:p w14:paraId="1260B49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podstawowy odbiornik ścieków – kolektor VII biegnący przez teren Nowosolnej wzdłuż rzeki Miazgi, a następnie wzdłuż </w:t>
      </w:r>
      <w:r>
        <w:rPr>
          <w:color w:val="000000"/>
          <w:u w:color="000000"/>
        </w:rPr>
        <w:t>ulicy Pomorskiej;</w:t>
      </w:r>
    </w:p>
    <w:p w14:paraId="22FCDE8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nadmiaru wód opadowych i roztopowych – zbiorniki odparowywalno-chłonne;</w:t>
      </w:r>
    </w:p>
    <w:p w14:paraId="59F2649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– gazociąg średniego ciśnienia DN 180 zlokalizowany w ul. Brzezińskiej oraz gazociąg średniego ciśnien</w:t>
      </w:r>
      <w:r>
        <w:rPr>
          <w:color w:val="000000"/>
          <w:u w:color="000000"/>
        </w:rPr>
        <w:t>ia Dn 63 w ul. Wiączyńskiej;</w:t>
      </w:r>
    </w:p>
    <w:p w14:paraId="4309FCD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– Główny Punkt Zasilania Janów 220/110/15 kV.</w:t>
      </w:r>
    </w:p>
    <w:p w14:paraId="713604A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granice terenów rozmieszczenia inwestycji celu publicznego o znaczeniu ponadlokalnym, które stanowią wska</w:t>
      </w:r>
      <w:r>
        <w:rPr>
          <w:color w:val="000000"/>
          <w:u w:color="000000"/>
        </w:rPr>
        <w:t>zane na rysunku planu linie rozgraniczające terenu drogi publicznej, oznaczonego symbolem 1KDA.</w:t>
      </w:r>
    </w:p>
    <w:p w14:paraId="405E0D48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ponadlokalnym w granicach niewymienionych w ust. 1 pod warunkiem ich zgodności z przeznacze</w:t>
      </w:r>
      <w:r>
        <w:rPr>
          <w:color w:val="000000"/>
          <w:u w:color="000000"/>
        </w:rPr>
        <w:t>niem terenów.</w:t>
      </w:r>
    </w:p>
    <w:p w14:paraId="7330520E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Ustala się granice terenów rozmieszczenia inwestycji celu publicznego o znaczeniu lokalnym, które stanowią wskazane na rysunku planu linie rozgraniczające terenów dróg publicznych, oznaczonych symbolami 1KDG i 1KDZ.</w:t>
      </w:r>
    </w:p>
    <w:p w14:paraId="1FC8C731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Dopuszcza się </w:t>
      </w:r>
      <w:r>
        <w:rPr>
          <w:color w:val="000000"/>
          <w:u w:color="000000"/>
        </w:rPr>
        <w:t>lokalizację inwestycji celu publicznego o znaczeniu lokalnym w granicach niewymienionych w ust. 1 pod warunkiem ich zgodności z przeznaczeniem terenów.</w:t>
      </w:r>
    </w:p>
    <w:p w14:paraId="748E700D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17. </w:t>
      </w:r>
      <w:r>
        <w:rPr>
          <w:color w:val="000000"/>
          <w:u w:color="000000"/>
        </w:rPr>
        <w:t>Ustala się wysokość stawki procentowej służącej określeniu opłaty, o której mowa w art. 36 ust. 4 </w:t>
      </w:r>
      <w:r>
        <w:rPr>
          <w:color w:val="000000"/>
          <w:u w:color="000000"/>
        </w:rPr>
        <w:t>ustawy dla wszystkich terenów – 30%.</w:t>
      </w:r>
    </w:p>
    <w:p w14:paraId="176D86FB" w14:textId="77777777" w:rsidR="00A77B3E" w:rsidRDefault="00F12DE7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5FE00028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 xml:space="preserve">1MN </w:t>
      </w:r>
      <w:r>
        <w:rPr>
          <w:color w:val="000000"/>
          <w:u w:color="000000"/>
        </w:rPr>
        <w:t>obowiązują ustalenia zawarte w kolejnych ustępach niniejszego paragrafu.</w:t>
      </w:r>
    </w:p>
    <w:p w14:paraId="2F72E87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</w:t>
      </w:r>
      <w:r>
        <w:rPr>
          <w:color w:val="000000"/>
          <w:u w:color="000000"/>
        </w:rPr>
        <w:t>la się:</w:t>
      </w:r>
    </w:p>
    <w:p w14:paraId="664D8A60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14:paraId="47C280F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zabudowa mieszkaniowa jednorodzinna,</w:t>
      </w:r>
    </w:p>
    <w:p w14:paraId="0BDA090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usługi lokalne;</w:t>
      </w:r>
    </w:p>
    <w:p w14:paraId="469A0D97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1F0839D7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usługi handlu,</w:t>
      </w:r>
    </w:p>
    <w:p w14:paraId="199FBAB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infrastruktura techniczna.</w:t>
      </w:r>
    </w:p>
    <w:p w14:paraId="1FCB78A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 zakresie warunków zabudowy i zagospodarowania terenu oraz zasad ochrony </w:t>
      </w:r>
      <w:r>
        <w:rPr>
          <w:color w:val="000000"/>
          <w:u w:color="000000"/>
        </w:rPr>
        <w:t>i kształtowania ładu przestrzennego ustala się:</w:t>
      </w:r>
    </w:p>
    <w:p w14:paraId="5BE0FEB4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61981D4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– maksimum 25%,</w:t>
      </w:r>
    </w:p>
    <w:p w14:paraId="23A7F720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zabudowy:</w:t>
      </w:r>
    </w:p>
    <w:p w14:paraId="7DC0414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kondygnacji nadziemnych – minimum 0,01, maksimum 0,4,</w:t>
      </w:r>
    </w:p>
    <w:p w14:paraId="5395BCB3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dla kondygnacji podziemnych – </w:t>
      </w:r>
      <w:r>
        <w:rPr>
          <w:color w:val="000000"/>
          <w:u w:color="000000"/>
        </w:rPr>
        <w:t>maksimum 0,3,</w:t>
      </w:r>
    </w:p>
    <w:p w14:paraId="327512F1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czynnej:</w:t>
      </w:r>
    </w:p>
    <w:p w14:paraId="50648150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do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– minimum 35%,</w:t>
      </w:r>
    </w:p>
    <w:p w14:paraId="3AC1CB21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1600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– minimum 45%,</w:t>
      </w:r>
    </w:p>
    <w:p w14:paraId="379A8E80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– minimum 55%,</w:t>
      </w:r>
    </w:p>
    <w:p w14:paraId="3F59925A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2200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– minimum 65%;</w:t>
      </w:r>
    </w:p>
    <w:p w14:paraId="6A5055F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26FEEBA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1CA42ADC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i usługowych – maksimum 10 m,</w:t>
      </w:r>
    </w:p>
    <w:p w14:paraId="610CF9AF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6 m,</w:t>
      </w:r>
    </w:p>
    <w:p w14:paraId="49D39E8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dachów:</w:t>
      </w:r>
    </w:p>
    <w:p w14:paraId="56751607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</w:t>
      </w:r>
      <w:r>
        <w:rPr>
          <w:color w:val="000000"/>
          <w:u w:color="000000"/>
        </w:rPr>
        <w:t>zkalnych jednorodzinnych i usługowych – dwuspadowe, z dopuszczeniem naczółkowych, lub wielospadowe, o symetrycznym układzie połaci i jednakowym kącie nachylenia w zakresie od 30° do 45°,</w:t>
      </w:r>
    </w:p>
    <w:p w14:paraId="64DAEFD8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gospodarczych, inwentarskich i garaży – dachy o symetryczn</w:t>
      </w:r>
      <w:r>
        <w:rPr>
          <w:color w:val="000000"/>
          <w:u w:color="000000"/>
        </w:rPr>
        <w:t>ym układzie połaci i jednakowym kącie nachylenia w zakresie od 30° do 45° lub dachy płaskie;</w:t>
      </w:r>
    </w:p>
    <w:p w14:paraId="3E30217D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14:paraId="57818117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zabudowa mieszkaniowa wolnostojąca,</w:t>
      </w:r>
    </w:p>
    <w:p w14:paraId="1E42308A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powierzchnia zabudowy budynków mieszkaln</w:t>
      </w:r>
      <w:r>
        <w:rPr>
          <w:color w:val="000000"/>
          <w:u w:color="000000"/>
        </w:rPr>
        <w:t>ych lub usługowych na działce budowlanej –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C4CE829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powierzchnia użytkowa budynku usług handlu na działce budowlanej – do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5D73586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istniejącej zabudowy zagrodowej dopuszczenie rozbudowy i nadbudowy na następujących warunkach:</w:t>
      </w:r>
    </w:p>
    <w:p w14:paraId="2D13CD8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powierzchnia </w:t>
      </w:r>
      <w:r>
        <w:rPr>
          <w:color w:val="000000"/>
          <w:u w:color="000000"/>
        </w:rPr>
        <w:t>zabudowy dla budynków: mieszkalnych - maksimum 150 m², gospodarczych, inwentarskich i garaży w zabudowie zagrodowej - łącznie maksimum 600 m²,</w:t>
      </w:r>
    </w:p>
    <w:p w14:paraId="6BC0608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 – maksimum 8 m.</w:t>
      </w:r>
    </w:p>
    <w:p w14:paraId="4E44D704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Określa się minimalną powierzchnię nowo wydzielonych działek budowlanych </w:t>
      </w:r>
      <w:r>
        <w:rPr>
          <w:color w:val="000000"/>
          <w:u w:color="000000"/>
        </w:rPr>
        <w:t>– 700 m².</w:t>
      </w:r>
    </w:p>
    <w:p w14:paraId="41F98D8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1DB7E637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700 m²;</w:t>
      </w:r>
    </w:p>
    <w:p w14:paraId="330781DB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15 m;</w:t>
      </w:r>
    </w:p>
    <w:p w14:paraId="420D790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kąt położenia granic działki w stosunku do pasa drogowego 90° </w:t>
      </w:r>
      <w:r>
        <w:rPr>
          <w:color w:val="000000"/>
          <w:u w:color="000000"/>
        </w:rPr>
        <w:t>z tolerancją 3°.</w:t>
      </w:r>
    </w:p>
    <w:p w14:paraId="19E93D3E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terenów, oznaczonych na rysunku planu symbolami </w:t>
      </w:r>
      <w:r>
        <w:rPr>
          <w:b/>
          <w:color w:val="000000"/>
          <w:u w:color="000000"/>
        </w:rPr>
        <w:t>1R/Zn</w:t>
      </w:r>
      <w:r>
        <w:rPr>
          <w:color w:val="000000"/>
          <w:u w:color="000000"/>
        </w:rPr>
        <w:t xml:space="preserve"> i</w:t>
      </w:r>
      <w:r>
        <w:rPr>
          <w:b/>
          <w:color w:val="000000"/>
          <w:u w:color="000000"/>
        </w:rPr>
        <w:t xml:space="preserve"> 2R/Zn </w:t>
      </w:r>
      <w:r>
        <w:rPr>
          <w:color w:val="000000"/>
          <w:u w:color="000000"/>
        </w:rPr>
        <w:t>obowiązują ustalenia zawarte w kolejnych ustępach niniejszego paragrafu.</w:t>
      </w:r>
    </w:p>
    <w:p w14:paraId="23DF2760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2F65C06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14:paraId="00353D5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rolne</w:t>
      </w:r>
      <w:r>
        <w:rPr>
          <w:color w:val="000000"/>
          <w:u w:color="000000"/>
        </w:rPr>
        <w:t>,</w:t>
      </w:r>
    </w:p>
    <w:p w14:paraId="157E8F9E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zieleń naturalna;</w:t>
      </w:r>
    </w:p>
    <w:p w14:paraId="33585A8C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F966CE7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lasy,</w:t>
      </w:r>
    </w:p>
    <w:p w14:paraId="28DCC73D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zalesienia,</w:t>
      </w:r>
    </w:p>
    <w:p w14:paraId="38D4498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wody powierzchniowe,</w:t>
      </w:r>
    </w:p>
    <w:p w14:paraId="431575C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infrastruktura techniczna,</w:t>
      </w:r>
    </w:p>
    <w:p w14:paraId="2953C31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komunikacja pieszo-rowerowa.</w:t>
      </w:r>
    </w:p>
    <w:p w14:paraId="0D70DA06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</w:t>
      </w:r>
      <w:r>
        <w:rPr>
          <w:color w:val="000000"/>
          <w:u w:color="000000"/>
        </w:rPr>
        <w:t>a ładu przestrzennego ustala się:</w:t>
      </w:r>
    </w:p>
    <w:p w14:paraId="3D68CB48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784B5E59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zalesiania terenów w obrębie wskazanych na rysunku planu granic zasięgu doliny rzeki Miazgi;</w:t>
      </w:r>
    </w:p>
    <w:p w14:paraId="7E6F6A53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zabudowy istniejącej:</w:t>
      </w:r>
    </w:p>
    <w:p w14:paraId="134EE4DF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remontu i przebudowy,</w:t>
      </w:r>
    </w:p>
    <w:p w14:paraId="54AEF61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rozbud</w:t>
      </w:r>
      <w:r>
        <w:rPr>
          <w:color w:val="000000"/>
          <w:u w:color="000000"/>
        </w:rPr>
        <w:t>owy i nadbudowy na następujących warunkach:</w:t>
      </w:r>
    </w:p>
    <w:p w14:paraId="572370E0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dla budynków: mieszkalnych -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gospodarczych, inwentarskich i garaży w zabudowie zagrodowej - łącznie maksimum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gospodarczych i garaży w zabudowie mieszkaniowej </w:t>
      </w:r>
      <w:r>
        <w:rPr>
          <w:color w:val="000000"/>
          <w:u w:color="000000"/>
        </w:rPr>
        <w:t>jednorodzinnej -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5AE14C6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dla budynków: mieszkalnych - maksimum 9,0 m, gospodarczych, inwentarskich i garaży w zabudowie zagrodowej w zabudowie zagrodowej - maksimum 8,0 m, gospodarczych i garaży w zabudowie mieszkaniowej jednoro</w:t>
      </w:r>
      <w:r>
        <w:rPr>
          <w:color w:val="000000"/>
          <w:u w:color="000000"/>
        </w:rPr>
        <w:t>dzinnej - maksimum 6,0 m,</w:t>
      </w:r>
    </w:p>
    <w:p w14:paraId="025FA9C7" w14:textId="77777777" w:rsidR="00A77B3E" w:rsidRDefault="00F12DE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dachy dwuspadowe z dopuszczeniem naczółkowych lub wielospadowe o symetrycznym układzie połaci i jednakowym kącie nachylenia w zakresie od 30° do 45° lub dachy płaskie.</w:t>
      </w:r>
    </w:p>
    <w:p w14:paraId="2B00F376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 xml:space="preserve">1Zn </w:t>
      </w:r>
      <w:r>
        <w:rPr>
          <w:color w:val="000000"/>
          <w:u w:color="000000"/>
        </w:rPr>
        <w:t>obowiązują ustalenia zawarte w kolejnych ustępach niniejszego paragrafu.</w:t>
      </w:r>
    </w:p>
    <w:p w14:paraId="5E88CA3D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0C364DF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zieleń naturalna;</w:t>
      </w:r>
    </w:p>
    <w:p w14:paraId="23018945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0CFBCFC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lasy,</w:t>
      </w:r>
    </w:p>
    <w:p w14:paraId="335E78C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zalesienia,</w:t>
      </w:r>
    </w:p>
    <w:p w14:paraId="4A4C5DAF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wody powierzchniowe,</w:t>
      </w:r>
    </w:p>
    <w:p w14:paraId="6EB2D1E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</w:t>
      </w:r>
      <w:r>
        <w:rPr>
          <w:color w:val="000000"/>
          <w:u w:color="000000"/>
        </w:rPr>
        <w:t>nfrastruktura techniczna.</w:t>
      </w:r>
    </w:p>
    <w:p w14:paraId="5D2C3249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zakaz lokalizacji budynków.</w:t>
      </w:r>
    </w:p>
    <w:p w14:paraId="0391F590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</w:t>
      </w:r>
      <w:r>
        <w:rPr>
          <w:color w:val="000000"/>
          <w:u w:color="000000"/>
        </w:rPr>
        <w:t xml:space="preserve"> ustala się:</w:t>
      </w:r>
    </w:p>
    <w:p w14:paraId="11863D07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65DFF35B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15 m;</w:t>
      </w:r>
    </w:p>
    <w:p w14:paraId="5B87E4A4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- 90° z tolerancją 3°.</w:t>
      </w:r>
    </w:p>
    <w:p w14:paraId="075B47B7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>Dla terenów dróg publicznych, oznaczonych na rysunku planu symbo</w:t>
      </w:r>
      <w:r>
        <w:rPr>
          <w:color w:val="000000"/>
          <w:u w:color="000000"/>
        </w:rPr>
        <w:t xml:space="preserve">lami: </w:t>
      </w:r>
      <w:r>
        <w:rPr>
          <w:b/>
          <w:color w:val="000000"/>
          <w:u w:color="000000"/>
        </w:rPr>
        <w:t>1KDA, 1KDG, 1KDZ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53DAECAE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0B6A7B4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dróg publicznych: ulice klasy: autostrady, głównej, zbiorczej wraz z obiekta</w:t>
      </w:r>
      <w:r>
        <w:rPr>
          <w:color w:val="000000"/>
          <w:u w:color="000000"/>
        </w:rPr>
        <w:t>mi i urządzeniami związanymi z prowadzeniem i obsługą ruchu drogowego;</w:t>
      </w:r>
    </w:p>
    <w:p w14:paraId="4A4C6BB9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70CD6F0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drogi dla rowerów,</w:t>
      </w:r>
    </w:p>
    <w:p w14:paraId="142A0D3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zieleń,</w:t>
      </w:r>
    </w:p>
    <w:p w14:paraId="2C4968D2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infrastruktura techniczna,</w:t>
      </w:r>
    </w:p>
    <w:p w14:paraId="17470D7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miejsca postojowe dla samochodów,</w:t>
      </w:r>
    </w:p>
    <w:p w14:paraId="1BDC6B85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wiaty przystankowe i kioski zespolone z wiatami </w:t>
      </w:r>
      <w:r>
        <w:rPr>
          <w:color w:val="000000"/>
          <w:u w:color="000000"/>
        </w:rPr>
        <w:t>przystankowymi dla komunikacji zbiorowej.</w:t>
      </w:r>
    </w:p>
    <w:p w14:paraId="72158642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funkcjonalno-technicznych:</w:t>
      </w:r>
    </w:p>
    <w:p w14:paraId="3ECC93FA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 xml:space="preserve">1KDA </w:t>
      </w:r>
      <w:r>
        <w:rPr>
          <w:color w:val="000000"/>
          <w:u w:color="000000"/>
        </w:rPr>
        <w:t>– autostrada A1:</w:t>
      </w:r>
    </w:p>
    <w:p w14:paraId="4955BD5B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A – autostrada,</w:t>
      </w:r>
    </w:p>
    <w:p w14:paraId="794E163C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zmienna od </w:t>
      </w:r>
      <w:r>
        <w:rPr>
          <w:color w:val="000000"/>
          <w:u w:color="000000"/>
        </w:rPr>
        <w:t>88,0 m do 202,5 m, zgodnie z rysunkiem planu;</w:t>
      </w:r>
    </w:p>
    <w:p w14:paraId="43B7F541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 xml:space="preserve">1KDG </w:t>
      </w:r>
      <w:r>
        <w:rPr>
          <w:color w:val="000000"/>
          <w:u w:color="000000"/>
        </w:rPr>
        <w:t>– fragment projektowanej obwodnicy osiedla Nowosolna:</w:t>
      </w:r>
    </w:p>
    <w:p w14:paraId="0348A964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G – główna,</w:t>
      </w:r>
    </w:p>
    <w:p w14:paraId="15970E96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32,6 m do 118,4 m, bez uwzgl</w:t>
      </w:r>
      <w:r>
        <w:rPr>
          <w:color w:val="000000"/>
          <w:u w:color="000000"/>
        </w:rPr>
        <w:t>ędnienia narożnych ścięć linii rozgraniczających przy skrzyżowaniach, zgodnie z rysunkiem planu;</w:t>
      </w:r>
    </w:p>
    <w:p w14:paraId="5F175F3E" w14:textId="77777777" w:rsidR="00A77B3E" w:rsidRDefault="00F12DE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 xml:space="preserve">1KDZ </w:t>
      </w:r>
      <w:r>
        <w:rPr>
          <w:color w:val="000000"/>
          <w:u w:color="000000"/>
        </w:rPr>
        <w:t>– ul. Wiączyńska:</w:t>
      </w:r>
    </w:p>
    <w:p w14:paraId="1EADBAB2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Z – zbiorcza,</w:t>
      </w:r>
    </w:p>
    <w:p w14:paraId="09E00B18" w14:textId="77777777" w:rsidR="00A77B3E" w:rsidRDefault="00F12DE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między granicą planu a zachodnią linią rozgranicza</w:t>
      </w:r>
      <w:r>
        <w:rPr>
          <w:color w:val="000000"/>
          <w:u w:color="000000"/>
        </w:rPr>
        <w:t>jącą zmienna od 10,9 m do 14,6 m, zgodnie z rysunkiem planu.</w:t>
      </w:r>
    </w:p>
    <w:p w14:paraId="731655AF" w14:textId="77777777" w:rsidR="00A77B3E" w:rsidRDefault="00F12DE7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3AE1FCBB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0AA969FA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Wykonanie uch</w:t>
      </w:r>
      <w:r>
        <w:rPr>
          <w:color w:val="000000"/>
          <w:u w:color="000000"/>
        </w:rPr>
        <w:t>wały powierza się Prezydentowi Miasta Łodzi.</w:t>
      </w:r>
    </w:p>
    <w:p w14:paraId="20535FB5" w14:textId="77777777" w:rsidR="00A77B3E" w:rsidRDefault="00F12DE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t>§ 24.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398B6BF6" w14:textId="77777777" w:rsidR="00A77B3E" w:rsidRDefault="00F12DE7">
      <w:pPr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185B57" w14:paraId="6457DD8E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4B9819A" w14:textId="77777777" w:rsidR="00A77B3E" w:rsidRDefault="00A77B3E">
            <w:pPr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BADC47D" w14:textId="77777777" w:rsidR="00A77B3E" w:rsidRDefault="00F12DE7">
            <w:pPr>
              <w:spacing w:before="120" w:after="12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sz w:val="22"/>
                <w:u w:color="000000"/>
              </w:rPr>
              <w:t>Przewodniczący</w:t>
            </w:r>
            <w:r>
              <w:rPr>
                <w:b/>
                <w:color w:val="000000"/>
                <w:sz w:val="22"/>
                <w:u w:color="000000"/>
              </w:rPr>
              <w:br/>
              <w:t>Rady Miejskiej w Łodzi</w:t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b/>
                <w:color w:val="000000"/>
                <w:sz w:val="22"/>
                <w:u w:color="000000"/>
              </w:rPr>
              <w:t>Bartosz DOMASZEWICZ</w:t>
            </w:r>
          </w:p>
        </w:tc>
      </w:tr>
    </w:tbl>
    <w:p w14:paraId="19DB6AE1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119FE87F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3EA710CD" w14:textId="77777777" w:rsidR="00A77B3E" w:rsidRDefault="00F12DE7">
      <w:pPr>
        <w:spacing w:before="120" w:after="120"/>
        <w:ind w:left="283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701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2A3C58F3" w14:textId="77777777" w:rsidR="00A77B3E" w:rsidRDefault="00F12DE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682D18E6" w14:textId="77777777" w:rsidR="00A77B3E" w:rsidRDefault="00F12DE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planu wykonany w skali 1:2000</w:t>
      </w:r>
    </w:p>
    <w:p w14:paraId="2521195B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01D67DD2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3BE4148" wp14:editId="74DB38E6">
            <wp:extent cx="5385203" cy="5896798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203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98E3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922D647" wp14:editId="68832C0B">
            <wp:extent cx="5641680" cy="616353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1680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0DC4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</w:t>
      </w:r>
      <w:r>
        <w:rPr>
          <w:color w:val="000000"/>
          <w:u w:color="000000"/>
        </w:rPr>
        <w:t xml:space="preserve"> 1</w:t>
      </w:r>
    </w:p>
    <w:p w14:paraId="1607E5C2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B3DA26D" wp14:editId="568CEFCF">
            <wp:extent cx="5637499" cy="6173062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499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F6E1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27DCE072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7D8CB96" wp14:editId="53072F34">
            <wp:extent cx="5656872" cy="6173062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687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2C8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5F095E29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5AAC584" wp14:editId="13683AD0">
            <wp:extent cx="5643942" cy="6173062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394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4089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71AE81FC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0A4F995" wp14:editId="74078F8F">
            <wp:extent cx="5648142" cy="6163535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142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A5EB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AKRUSZ 5</w:t>
      </w:r>
    </w:p>
    <w:p w14:paraId="5C930E7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11B5742" wp14:editId="70EF77FC">
            <wp:extent cx="5643942" cy="6173062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394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0E15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6</w:t>
      </w:r>
    </w:p>
    <w:p w14:paraId="6748FD57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DDAE5CD" wp14:editId="41AEA8A3">
            <wp:extent cx="5656872" cy="6173062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687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D7E8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7</w:t>
      </w:r>
    </w:p>
    <w:p w14:paraId="0B06CF4D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48853C6" wp14:editId="5D02B59C">
            <wp:extent cx="5650400" cy="6173062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0400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85BB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8</w:t>
      </w:r>
    </w:p>
    <w:p w14:paraId="2F5618B9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BFE03FA" wp14:editId="6AEB73A5">
            <wp:extent cx="5637499" cy="6173062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7499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371E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9</w:t>
      </w:r>
    </w:p>
    <w:p w14:paraId="1DF23F6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5C07B5F" wp14:editId="2449E439">
            <wp:extent cx="5631071" cy="6173062"/>
            <wp:effectExtent l="0" t="0" r="0" b="0"/>
            <wp:docPr id="100021" name="Obraz 10002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1071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4E60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10</w:t>
      </w:r>
    </w:p>
    <w:p w14:paraId="2F63BCE6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1C52A16" wp14:editId="43EC5D7E">
            <wp:extent cx="5643942" cy="6173062"/>
            <wp:effectExtent l="0" t="0" r="0" b="0"/>
            <wp:docPr id="100023" name="Obraz 10002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394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9F7E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11</w:t>
      </w:r>
    </w:p>
    <w:p w14:paraId="1CBD79B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DCB79E5" wp14:editId="62103F33">
            <wp:extent cx="5659120" cy="6182588"/>
            <wp:effectExtent l="0" t="0" r="0" b="0"/>
            <wp:docPr id="100025" name="Obraz 10002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471D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12</w:t>
      </w:r>
    </w:p>
    <w:p w14:paraId="5558FC40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4556EC8" wp14:editId="7C87ADAB">
            <wp:extent cx="5656872" cy="6173062"/>
            <wp:effectExtent l="0" t="0" r="0" b="0"/>
            <wp:docPr id="100027" name="Obraz 10002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687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FF7C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13</w:t>
      </w:r>
    </w:p>
    <w:p w14:paraId="004328E5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C1E701B" wp14:editId="36BFA6BB">
            <wp:extent cx="5656872" cy="6173062"/>
            <wp:effectExtent l="0" t="0" r="0" b="0"/>
            <wp:docPr id="100029" name="Obraz 10002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687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7B6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14</w:t>
      </w:r>
    </w:p>
    <w:p w14:paraId="14802B8B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16C3590" wp14:editId="5F4FC926">
            <wp:extent cx="5643942" cy="6173062"/>
            <wp:effectExtent l="0" t="0" r="0" b="0"/>
            <wp:docPr id="100031" name="Obraz 10003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3942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29AC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15</w:t>
      </w:r>
    </w:p>
    <w:p w14:paraId="3E326B79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2E4B01E" wp14:editId="6A45254B">
            <wp:extent cx="5650400" cy="6173062"/>
            <wp:effectExtent l="0" t="0" r="0" b="0"/>
            <wp:docPr id="100033" name="Obraz 10003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0400" cy="61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DF71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16</w:t>
      </w:r>
    </w:p>
    <w:p w14:paraId="72F5CDC3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9B4A980" wp14:editId="22D78BFD">
            <wp:extent cx="3859046" cy="7230525"/>
            <wp:effectExtent l="0" t="0" r="0" b="0"/>
            <wp:docPr id="100035" name="Obraz 10003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59046" cy="72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9844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LEGENDA 1</w:t>
      </w:r>
    </w:p>
    <w:p w14:paraId="68554E3B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2221F62" wp14:editId="321ACE77">
            <wp:extent cx="3522736" cy="7306836"/>
            <wp:effectExtent l="0" t="0" r="0" b="0"/>
            <wp:docPr id="100037" name="Obraz 10003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2736" cy="73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0BFF" w14:textId="77777777" w:rsidR="00A77B3E" w:rsidRDefault="00F12DE7">
      <w:pPr>
        <w:spacing w:before="120" w:after="120"/>
        <w:ind w:left="283"/>
        <w:jc w:val="center"/>
        <w:rPr>
          <w:color w:val="000000"/>
          <w:u w:color="000000"/>
        </w:rPr>
        <w:sectPr w:rsidR="00A77B3E">
          <w:footerReference w:type="default" r:id="rId45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 2</w:t>
      </w:r>
    </w:p>
    <w:p w14:paraId="4283F1F4" w14:textId="77777777" w:rsidR="00A77B3E" w:rsidRDefault="00F12DE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</w:t>
      </w:r>
      <w:r>
        <w:rPr>
          <w:color w:val="000000"/>
          <w:u w:color="000000"/>
        </w:rPr>
        <w:t>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5AE5FFF2" w14:textId="77777777" w:rsidR="00A77B3E" w:rsidRDefault="00F12DE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wniesionych do projektu planu w związku z wyłożeniem do publicznego wglądu.</w:t>
      </w:r>
    </w:p>
    <w:p w14:paraId="4498CCBE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</w:t>
      </w:r>
      <w:r>
        <w:rPr>
          <w:color w:val="000000"/>
          <w:u w:color="000000"/>
        </w:rPr>
        <w:t>odzi położonej w rejonie ulicy Wiączyńskiej i autostrady A1 został wyłożony do publicznego wglądu w okresie od 30 listopada 2023 r. do 21 grudnia 2023 r. W wyznaczonym terminie wnoszenia uwag, tj. do dnia 5 stycznia 2024 r., wpłynęło 14 uwag. Prezydent Mia</w:t>
      </w:r>
      <w:r>
        <w:rPr>
          <w:color w:val="000000"/>
          <w:u w:color="000000"/>
        </w:rPr>
        <w:t>sta Łodzi zarządzeniem nr 125/2026 z dnia 20 stycznia 2026 r. rozpatrzył uwagi dotyczące projektu planu zgodnie z przywołanymi w wyjaśnieniach aktami prawnymi w ich brzmieniu na dzień podpisania zarządzenia. Rada Miejska w Łodzi postanawia przyjąć następuj</w:t>
      </w:r>
      <w:r>
        <w:rPr>
          <w:color w:val="000000"/>
          <w:u w:color="000000"/>
        </w:rPr>
        <w:t>ący sposób rozpatrzenia:</w:t>
      </w:r>
    </w:p>
    <w:p w14:paraId="34F36918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1</w:t>
      </w:r>
    </w:p>
    <w:p w14:paraId="79138FE9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złożona 21 grudnia 2023 r.,</w:t>
      </w:r>
    </w:p>
    <w:p w14:paraId="7E84E7CF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dotyczy działek nr: 138/1, 423/1, 608/1, 137/1, 609/1, 136/2, 135/3, obręb W-48.</w:t>
      </w:r>
    </w:p>
    <w:p w14:paraId="4BBDEE4E" w14:textId="77777777" w:rsidR="00A77B3E" w:rsidRDefault="00F12DE7">
      <w:pPr>
        <w:spacing w:before="120" w:after="120"/>
        <w:ind w:left="51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506BF4C9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„W związku z planowaną inwestycją magazynową, wnoszę o zaniechanie uchwalenia planu miejscowego, </w:t>
      </w:r>
      <w:r>
        <w:rPr>
          <w:i/>
          <w:color w:val="000000"/>
          <w:u w:color="000000"/>
        </w:rPr>
        <w:t>który uniemożliwi realizację zabudowy na przedmiotowych działkach.</w:t>
      </w:r>
    </w:p>
    <w:p w14:paraId="589AA3AD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Przedmiotowy teren w obecnym projekcie planu miejscowego przeznaczony jest jako 1R/Zn                    - tereny rolne i zieleni naturalnej. Wynika to bezpośrednio z ustaleń studium uwarun</w:t>
      </w:r>
      <w:r>
        <w:rPr>
          <w:i/>
          <w:color w:val="000000"/>
          <w:u w:color="000000"/>
        </w:rPr>
        <w:t xml:space="preserve">kowań i kierunków zagospodarowania przestrzennego Miasta Łodź. Rozwój przestrzenny i infrastrukturalny miasta spowodował, że przedmiotowe działki znajdują się między autostradą a projektowaną obwodnicą i stanowią naturalną kontynuację zabudowy magazynowej </w:t>
      </w:r>
      <w:r>
        <w:rPr>
          <w:i/>
          <w:color w:val="000000"/>
          <w:u w:color="000000"/>
        </w:rPr>
        <w:t>znajdującej się w bezpośrednim sąsiedztwie. W związku z powyższym przestrzennie i ekonomicznie uzasadnione jest, aby były one przeznaczone pod zabudowę magazynową.”</w:t>
      </w:r>
    </w:p>
    <w:p w14:paraId="3F8609D3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postanowił nie uwzględnić uwagi.</w:t>
      </w:r>
    </w:p>
    <w:p w14:paraId="1433C5A9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</w:t>
      </w:r>
      <w:r>
        <w:rPr>
          <w:b/>
          <w:color w:val="000000"/>
          <w:u w:color="000000"/>
        </w:rPr>
        <w:t>e uwzględnić uwagi.</w:t>
      </w:r>
    </w:p>
    <w:p w14:paraId="2132AE5A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305770E3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W zakresie wstrzymania prac nad projektem planu, zgodnie z art. 18 ustawy z dnia 27 marca 2003 r. o planowaniu i zagospodarowaniu przestrzennym cyt. „uwagi do projektu planu miejscowego może wnieść każdy, kto kwestionuje us</w:t>
      </w:r>
      <w:r>
        <w:rPr>
          <w:color w:val="000000"/>
          <w:u w:color="000000"/>
        </w:rPr>
        <w:t>talenia przyjęte w projekcie planu, wyłożonym do publicznego wglądu (…)”. Uwaga w tym zakresie nie dotyczy ustaleń planu miejscowego, w związku z czym nie może być uwzględniona ze względów formalnych.</w:t>
      </w:r>
    </w:p>
    <w:p w14:paraId="2592852A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 xml:space="preserve">W pozostałym zakresie należy podkreślić, że zgodnie z art. 15 ust. 1 ustawy z dnia 27 marca 2003 r. o planowaniu i zagospodarowaniu przestrzennym </w:t>
      </w:r>
      <w:r>
        <w:rPr>
          <w:i/>
          <w:color w:val="000000"/>
          <w:u w:color="000000"/>
        </w:rPr>
        <w:t>„(…) prezydent miasta sporządza projekt planu miejscowego (…) zgodnie z zapisami studium oraz z przepisami odr</w:t>
      </w:r>
      <w:r>
        <w:rPr>
          <w:i/>
          <w:color w:val="000000"/>
          <w:u w:color="000000"/>
        </w:rPr>
        <w:t>ębnymi, odnoszącymi się do obszaru objętego planem (…)</w:t>
      </w:r>
      <w:r>
        <w:rPr>
          <w:color w:val="000000"/>
          <w:u w:color="000000"/>
        </w:rPr>
        <w:t>”. Jednocześnie art. 9 ust. 4 ww. ustawy stanowi, że „</w:t>
      </w:r>
      <w:r>
        <w:rPr>
          <w:i/>
          <w:color w:val="000000"/>
          <w:u w:color="000000"/>
        </w:rPr>
        <w:t>Ustalenia studium są wiążące dla organów gminy przy sporządzaniu planów miejscowych</w:t>
      </w:r>
      <w:r>
        <w:rPr>
          <w:color w:val="000000"/>
          <w:u w:color="000000"/>
        </w:rPr>
        <w:t>”. Działki objęte uwagą zgodnie ze Studium uwarunkowań i kierunkó</w:t>
      </w:r>
      <w:r>
        <w:rPr>
          <w:color w:val="000000"/>
          <w:u w:color="000000"/>
        </w:rPr>
        <w:t>w zagospodarowania przestrzennego miasta Łodzi uchwalonym uchwałą Nr LXIX/1753/18 Rady Miejskiej w Łodzi z dnia 28 marca 2018 r., zmienioną uchwałami Rady Miejskiej w Łodzi Nr VI/215/19 z dnia 6 marca 2019 r. i Nr LII/1605/21 z dnia 22 grudnia 2021 r., zna</w:t>
      </w:r>
      <w:r>
        <w:rPr>
          <w:color w:val="000000"/>
          <w:u w:color="000000"/>
        </w:rPr>
        <w:t>jdują się w strefie terenów wyłączonych spod zabudowy, w jednostce funkcjonalno-przestrzennej „O” (tereny aktywne przyrodniczo, w tym użytkowane rolniczo), zaś na północno-zachodnim fragmencie działki nr 138/1 wskazany został przebieg projektowanej obwodni</w:t>
      </w:r>
      <w:r>
        <w:rPr>
          <w:color w:val="000000"/>
          <w:u w:color="000000"/>
        </w:rPr>
        <w:t>cy osiedla Nowosolna. Zgodnie z ustaleniami ww. Studium, w planie miejscowym działki wskazane w przedmiotowej uwadze przeznaczono na teren rolny i zieleni naturalnej, natomiast ww. fragment działki nr 138/1 na teren dróg publicznych – ulicy głównej będącej</w:t>
      </w:r>
      <w:r>
        <w:rPr>
          <w:color w:val="000000"/>
          <w:u w:color="000000"/>
        </w:rPr>
        <w:t xml:space="preserve"> kontynuacją wybudowanej już części obwodnicy.</w:t>
      </w:r>
    </w:p>
    <w:p w14:paraId="010B67CA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Dodatkowo, należy zaznaczyć, że północna część ww. działek położona jest w naturalnym obniżeniu dolinnym rzeki Miazgi, wskazanym na rysunku planu, chronionym przed zabudową ze względu na konieczność zapewnieni</w:t>
      </w:r>
      <w:r>
        <w:rPr>
          <w:color w:val="000000"/>
          <w:u w:color="000000"/>
        </w:rPr>
        <w:t>a funkcji przyrodniczej doliny stanowiącej istotny korytarz ekologiczny w skali miasta. Ww. Studium w zakresie zasad kształtowania i ochrony środowiska przyrodniczego ustala m.in. ochronę istniejących korytarzy ekologicznych i kształtowanie nowych powiązań</w:t>
      </w:r>
      <w:r>
        <w:rPr>
          <w:color w:val="000000"/>
          <w:u w:color="000000"/>
        </w:rPr>
        <w:t xml:space="preserve"> pomiędzy terenami aktywnymi przyrodniczo, w celu zapewnienia spójności systemu przyrodniczego miasta oraz umożliwienia migracji roślin, zwierząt i grzybów, co znajduje odzwierciedlenie w ustaleniach przedmiotowego planu. Rzeka Miazga stanowi także istotny</w:t>
      </w:r>
      <w:r>
        <w:rPr>
          <w:color w:val="000000"/>
          <w:u w:color="000000"/>
        </w:rPr>
        <w:t xml:space="preserve"> odbiornik wód opadowych dla obszaru objętego planem oraz całego osiedla Nowosolna, co zostało ujęte w miejskich dokumentach dotyczących zarządzania wodami opadowymi i roztopowymi. Umożliwienie realizacji zabudowy w zasięgu doliny rzeki Miazgi spowoduje po</w:t>
      </w:r>
      <w:r>
        <w:rPr>
          <w:color w:val="000000"/>
          <w:u w:color="000000"/>
        </w:rPr>
        <w:t>gorszenie warunków hydrologicznych obszaru.</w:t>
      </w:r>
    </w:p>
    <w:p w14:paraId="2D996775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2</w:t>
      </w:r>
    </w:p>
    <w:p w14:paraId="7122BA62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złożona 5 stycznia 2024 r.,</w:t>
      </w:r>
    </w:p>
    <w:p w14:paraId="5C5546DC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dotyczy działek położonych w granicach terenów oznaczonych na rysunku projektu planu symbolami 1MN i 1R/Zn.</w:t>
      </w:r>
    </w:p>
    <w:p w14:paraId="4E8C54E4" w14:textId="77777777" w:rsidR="00A77B3E" w:rsidRDefault="00F12DE7">
      <w:pPr>
        <w:spacing w:before="120" w:after="120"/>
        <w:ind w:left="51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78A1890A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„W jednostce 1MW proponuję wprowadzić możliwość pro</w:t>
      </w:r>
      <w:r>
        <w:rPr>
          <w:i/>
          <w:color w:val="000000"/>
          <w:u w:color="000000"/>
        </w:rPr>
        <w:t>wadzenia usług a więc 1MW/U. Ulica Wiączynska już jest uciążliwa ze względu na zwiększony ruch dojazdowy do Nowosolnej. Sąsiedztwo A1 mimo ekranów akustycznych nie sprawia, że obszar ten należy do atrakcyjnych jeśli chodzi o budownictwo mieszkaniowe.</w:t>
      </w:r>
    </w:p>
    <w:p w14:paraId="68133925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Po wy</w:t>
      </w:r>
      <w:r>
        <w:rPr>
          <w:i/>
          <w:color w:val="000000"/>
          <w:u w:color="000000"/>
        </w:rPr>
        <w:t>budowaniu obwodnicy Nowosolnej (1KDG) uciążliwość się zwiększy. Naturalna zatem będzie ucieczka stałych mieszkańców z tego obszaru. Natomiast obszar ten może się stać interesujący dla rozwoju drobnych usług. W interesie potencjalnych dochodów miasta z poda</w:t>
      </w:r>
      <w:r>
        <w:rPr>
          <w:i/>
          <w:color w:val="000000"/>
          <w:u w:color="000000"/>
        </w:rPr>
        <w:t>tku od nieruchomości, warto być do tego przygotowanym i zapisać wielofunkcyjność dla tego obszaru.</w:t>
      </w:r>
    </w:p>
    <w:p w14:paraId="44842BAA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W jednostce 1R/Zn</w:t>
      </w:r>
    </w:p>
    <w:p w14:paraId="1D8BEFD4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Przeznaczenie terenu pomiędzy autostradą A1 a obwodnicą Nowosolnej zieleń naturalną (mimo zgodności ze Studium) przeczy interesowi miasta i</w:t>
      </w:r>
      <w:r>
        <w:rPr>
          <w:i/>
          <w:color w:val="000000"/>
          <w:u w:color="000000"/>
        </w:rPr>
        <w:t> lokalnej społeczności.</w:t>
      </w:r>
    </w:p>
    <w:p w14:paraId="1C7C4E0B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Układ dolinny niechroniony ekranami akustycznymi w sposób bezpośredni przenosi hałas i zanieczyszczenia związane z autostradą aż do osiedla Nowosolna.</w:t>
      </w:r>
    </w:p>
    <w:p w14:paraId="67CAAE0C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Budowa obiektów magazynowych stanowiłaby naturalną barierę akustyczną. Nie od rze</w:t>
      </w:r>
      <w:r>
        <w:rPr>
          <w:i/>
          <w:color w:val="000000"/>
          <w:u w:color="000000"/>
        </w:rPr>
        <w:t xml:space="preserve">czy byłaby budowa dalszego odcinka obwodnicy do ul. Wiączyńskiej, co w sposób radykalny obniżyłoby ilość samochodów na skrzyżowaniu w Nowosolnej. </w:t>
      </w:r>
    </w:p>
    <w:p w14:paraId="6583E91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Współdziałając z inwestorami (7R i Whitestar) na podstawie umowy z miastem wybudowali oni pierwszy odcinek ob</w:t>
      </w:r>
      <w:r>
        <w:rPr>
          <w:i/>
          <w:color w:val="000000"/>
          <w:u w:color="000000"/>
        </w:rPr>
        <w:t>wodnicy. Dobrze by było na podstawie kolejnej umowy zobowiązać kolejnego inwestora do kontynuowania jej do ul. Wiączyńskiej. Dałoby to wielomilionowe oszczędności w budżecie Łodzi.</w:t>
      </w:r>
    </w:p>
    <w:p w14:paraId="1091CBF5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Zwrócić należy też uwagę, że według pierwszych przymiarek na ww.  obszarze </w:t>
      </w:r>
      <w:r>
        <w:rPr>
          <w:i/>
          <w:color w:val="000000"/>
          <w:u w:color="000000"/>
        </w:rPr>
        <w:t>możnaby było zlokalizować obiekty usługowo magazynowe o powierzchni ok. 30 ha. Podatek od nieruchomości zasilałby rocznie budżet gminy na poziomie 7 milionów złotych.</w:t>
      </w:r>
    </w:p>
    <w:p w14:paraId="444A3D1C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Z niezrozumiałych względów twórcy Studium skreślili z możliwość zabudowy usługowo-logisty</w:t>
      </w:r>
      <w:r>
        <w:rPr>
          <w:i/>
          <w:color w:val="000000"/>
          <w:u w:color="000000"/>
        </w:rPr>
        <w:t xml:space="preserve">cznej z okolic węzła Nowosolna nie rekompensując takiej możliwości na terenie Łodzi. Należy naprawić ten błąd. </w:t>
      </w:r>
    </w:p>
    <w:p w14:paraId="6F174378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Wnoszę więc o zmianę kwalifikacji jednostki z 1R/Zn na 1P/U.”</w:t>
      </w:r>
    </w:p>
    <w:p w14:paraId="6A844CCD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postanowił nie uwzględnić uwagi.</w:t>
      </w:r>
    </w:p>
    <w:p w14:paraId="70833833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</w:t>
      </w:r>
      <w:r>
        <w:rPr>
          <w:b/>
          <w:color w:val="000000"/>
          <w:u w:color="000000"/>
        </w:rPr>
        <w:t>postanowiła nie uwzględnić uwagi.</w:t>
      </w:r>
    </w:p>
    <w:p w14:paraId="750FF3A9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00039368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W zakresie umożliwienia realizacji usług w terenie zabudowy mieszkaniowej jednorodzinnej o symbolu 1MN.</w:t>
      </w:r>
    </w:p>
    <w:p w14:paraId="243ABDBF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 xml:space="preserve">W planie nie wyznaczono terenu o symbolu 1MW, zgodnie z treścią uwagi, lecz teren zabudowy mieszkaniowej </w:t>
      </w:r>
      <w:r>
        <w:rPr>
          <w:color w:val="000000"/>
          <w:u w:color="000000"/>
        </w:rPr>
        <w:t>jednorodzinnej o symbolu 1MN, dla którego w treści uchwały w § 17 ust. 2 ustalono przeznaczenie podstawowe „zabudowa mieszkaniowa jednorodzinna oraz usługi lokalne”. Dodatkowo jako przeznaczenie uzupełniające ww. terenu ustalono usługi handlu. W związku z </w:t>
      </w:r>
      <w:r>
        <w:rPr>
          <w:color w:val="000000"/>
          <w:u w:color="000000"/>
        </w:rPr>
        <w:t>powyższym, plan zapewnia już rozwój funkcji usługowej na przedmiotowym obszarze.</w:t>
      </w:r>
    </w:p>
    <w:p w14:paraId="7C8E0E5E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W zakresie zmiany przeznaczenia terenu rolnego i zieleni naturalnej o symbolu 1R/Zn na teren zabudowy usługowo-magazynowej o symbolu 1P/U.</w:t>
      </w:r>
    </w:p>
    <w:p w14:paraId="70CA2CD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</w:t>
      </w:r>
      <w:r>
        <w:rPr>
          <w:color w:val="000000"/>
          <w:u w:color="000000"/>
        </w:rPr>
        <w:t xml:space="preserve">ia 27 marca 2003 r. o planowaniu i zagospodarowaniu przestrzennym </w:t>
      </w:r>
      <w:r>
        <w:rPr>
          <w:i/>
          <w:color w:val="000000"/>
          <w:u w:color="000000"/>
        </w:rPr>
        <w:t>„(…) prezydent miasta sporządza projekt planu miejscowego (…) zgodnie z zapisami studium oraz z przepisami odrębnymi, odnoszącymi się do obszaru objętego planem (…)</w:t>
      </w:r>
      <w:r>
        <w:rPr>
          <w:color w:val="000000"/>
          <w:u w:color="000000"/>
        </w:rPr>
        <w:t>”. Jednocześnie art. 9 ust</w:t>
      </w:r>
      <w:r>
        <w:rPr>
          <w:color w:val="000000"/>
          <w:u w:color="000000"/>
        </w:rPr>
        <w:t>. 4 ww. ustawy stanowi, że „</w:t>
      </w:r>
      <w:r>
        <w:rPr>
          <w:i/>
          <w:color w:val="000000"/>
          <w:u w:color="000000"/>
        </w:rPr>
        <w:t>Ustalenia studium są wiążące dla organów gminy przy sporządzaniu planów miejscowych</w:t>
      </w:r>
      <w:r>
        <w:rPr>
          <w:color w:val="000000"/>
          <w:u w:color="000000"/>
        </w:rPr>
        <w:t>”. Działki objęte uwagą zgodnie ze Studium uwarunkowań i kierunków zagospodarowania przestrzennego miasta Łodzi uchwalonym uchwałą Nr LXIX/1753/1</w:t>
      </w:r>
      <w:r>
        <w:rPr>
          <w:color w:val="000000"/>
          <w:u w:color="000000"/>
        </w:rPr>
        <w:t>8 Rady Miejskiej w Łodzi z dnia 28 marca 2018 r., zmienioną uchwałami Rady Miejskiej w Łodzi Nr VI/215/19 z dnia 6 marca 2019 r. i Nr LII/1605/21 z dnia 22 grudnia 2021 r., znajdują się w strefie terenów wyłączonych spod zabudowy, w jednostce funkcjonalno-</w:t>
      </w:r>
      <w:r>
        <w:rPr>
          <w:color w:val="000000"/>
          <w:u w:color="000000"/>
        </w:rPr>
        <w:t>przestrzennej „O” (tereny aktywne przyrodniczo, w tym użytkowane rolniczo). Zgodnie z ustaleniami Studium, w planie miejscowym ww. działki przeznaczono na teren rolny i zieleni naturalnej.</w:t>
      </w:r>
    </w:p>
    <w:p w14:paraId="1726F991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Dodatkowo, należy podkreślić, że północna część ww. działek położon</w:t>
      </w:r>
      <w:r>
        <w:rPr>
          <w:color w:val="000000"/>
          <w:u w:color="000000"/>
        </w:rPr>
        <w:t>a jest w dolinie rzeki Miazgi, wskazanej na rysunku planu, chronionej przed zabudową ze względu na konieczność zapewnienia funkcji przyrodniczej doliny stanowiącej istotny korytarz ekologiczny w skali miasta. Studium uwarunkowań i kierunków zagospodarowani</w:t>
      </w:r>
      <w:r>
        <w:rPr>
          <w:color w:val="000000"/>
          <w:u w:color="000000"/>
        </w:rPr>
        <w:t>a przestrzennego miasta Łodzi w zakresie zasad kształtowania i ochrony środowiska przyrodniczego ustala m.in. ochronę istniejących korytarzy ekologicznych i kształtowanie nowych powiązań pomiędzy terenami aktywnymi przyrodniczo, w celu zapewnienia spójnośc</w:t>
      </w:r>
      <w:r>
        <w:rPr>
          <w:color w:val="000000"/>
          <w:u w:color="000000"/>
        </w:rPr>
        <w:t>i systemu przyrodniczego miasta oraz umożliwienia migracji roślin, zwierząt i grzybów.</w:t>
      </w:r>
    </w:p>
    <w:p w14:paraId="4D40F1D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Rzeka Miazga stanowi także istotny odbiornik wód opadowych dla obszaru objętego planem oraz całego osiedla Nowosolna, co zostało ujęte w miejskich dokumentach dotyczącyc</w:t>
      </w:r>
      <w:r>
        <w:rPr>
          <w:color w:val="000000"/>
          <w:u w:color="000000"/>
        </w:rPr>
        <w:t>h zarządzania wodami opadowymi i roztopowymi. Umożliwienie realizacji zabudowy w zasięgu doliny rzeki Miazgi spowoduje pogorszenie warunków hydrologicznych obszaru.</w:t>
      </w:r>
    </w:p>
    <w:p w14:paraId="4F8A877E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Uwagi 3-14</w:t>
      </w:r>
    </w:p>
    <w:p w14:paraId="107CC411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złożone 5 stycznia 2024 r.,</w:t>
      </w:r>
    </w:p>
    <w:p w14:paraId="1D7A8B1B" w14:textId="77777777" w:rsidR="00A77B3E" w:rsidRDefault="00F12DE7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dotyczą działek położonych w granicach terenu oz</w:t>
      </w:r>
      <w:r>
        <w:rPr>
          <w:color w:val="000000"/>
          <w:u w:color="000000"/>
        </w:rPr>
        <w:t>naczonego na rysunku projektu planu symbolem 1R/Zn.</w:t>
      </w:r>
    </w:p>
    <w:p w14:paraId="013756DD" w14:textId="77777777" w:rsidR="00A77B3E" w:rsidRDefault="00F12DE7">
      <w:pPr>
        <w:spacing w:before="120" w:after="120"/>
        <w:ind w:left="51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 o jednobrzmiącej treści:</w:t>
      </w:r>
    </w:p>
    <w:p w14:paraId="430C1DC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„Wnosimy o zmianę przeznaczenia terenu oznaczonego symbolem 1R/Zn na tereny zabudowy magazynowej.</w:t>
      </w:r>
    </w:p>
    <w:p w14:paraId="42DF0554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i/>
          <w:color w:val="000000"/>
          <w:u w:color="000000"/>
        </w:rPr>
        <w:t>Tereny te znajdują się pomiędzy autostradą a projektowaną obwodnicą. S</w:t>
      </w:r>
      <w:r>
        <w:rPr>
          <w:i/>
          <w:color w:val="000000"/>
          <w:u w:color="000000"/>
        </w:rPr>
        <w:t>tanowią one więc potencjalnie naturalną kontynuację zabudowy magazynowej znajdującej się w bezpośrednim sąsiedztwie. W przypadku braku możliwości zmiany przeznaczenia na zabudowę magazynową, wnosimy o zaniechanie uchwalenia planu, który uniemożliwi realiza</w:t>
      </w:r>
      <w:r>
        <w:rPr>
          <w:i/>
          <w:color w:val="000000"/>
          <w:u w:color="000000"/>
        </w:rPr>
        <w:t>cję zabudowy na naszym terenie.”</w:t>
      </w:r>
    </w:p>
    <w:p w14:paraId="00DC4900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postanowił nie uwzględnić uwag.</w:t>
      </w:r>
    </w:p>
    <w:p w14:paraId="1DE9448B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uwag.</w:t>
      </w:r>
    </w:p>
    <w:p w14:paraId="18F73D2D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5FF29A8F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15 ust. 1 ustawy z dnia 27 marca 2003 r. o planowaniu i zagospodarowaniu przestrzennym </w:t>
      </w:r>
      <w:r>
        <w:rPr>
          <w:i/>
          <w:color w:val="000000"/>
          <w:u w:color="000000"/>
        </w:rPr>
        <w:t xml:space="preserve">„(…) prezydent miasta sporządza projekt planu miejscowego (…) zgodnie z zapisami studium oraz z przepisami odrębnymi, odnoszącymi się do obszaru objętego </w:t>
      </w:r>
      <w:r>
        <w:rPr>
          <w:i/>
          <w:color w:val="000000"/>
          <w:u w:color="000000"/>
        </w:rPr>
        <w:t>planem (…)</w:t>
      </w:r>
      <w:r>
        <w:rPr>
          <w:color w:val="000000"/>
          <w:u w:color="000000"/>
        </w:rPr>
        <w:t>”. Jednocześnie art. 9 ust. 4 ww. ustawy stanowi, że „</w:t>
      </w:r>
      <w:r>
        <w:rPr>
          <w:i/>
          <w:color w:val="000000"/>
          <w:u w:color="000000"/>
        </w:rPr>
        <w:t>Ustalenia studium są wiążące dla organów gminy przy sporządzaniu planów miejscowych</w:t>
      </w:r>
      <w:r>
        <w:rPr>
          <w:color w:val="000000"/>
          <w:u w:color="000000"/>
        </w:rPr>
        <w:t>”. Działki objęte uwagami zgodnie ze Studium uwarunkowań i kierunków zagospodarowania przestrzennego miasta Ł</w:t>
      </w:r>
      <w:r>
        <w:rPr>
          <w:color w:val="000000"/>
          <w:u w:color="000000"/>
        </w:rPr>
        <w:t>odzi uchwalonym uchwałą Nr LXIX/1753/18 Rady Miejskiej w Łodzi z dnia 28 marca 2018 r., zmienioną uchwałami Rady Miejskiej w Łodzi Nr VI/215/19 z dnia 6 marca 2019 r. i Nr LII/1605/21 z dnia 22 grudnia 2021 r., znajdują się w strefie terenów wyłączonych sp</w:t>
      </w:r>
      <w:r>
        <w:rPr>
          <w:color w:val="000000"/>
          <w:u w:color="000000"/>
        </w:rPr>
        <w:t>od zabudowy, w jednostce funkcjonalno-przestrzennej „O” (tereny aktywne przyrodniczo, w tym użytkowane rolniczo). Zgodnie z ustaleniami ww. Studium, w planie miejscowym działki wskazane w przedmiotowych uwagach przeznaczono na teren rolny i zieleni natural</w:t>
      </w:r>
      <w:r>
        <w:rPr>
          <w:color w:val="000000"/>
          <w:u w:color="000000"/>
        </w:rPr>
        <w:t>nej.</w:t>
      </w:r>
    </w:p>
    <w:p w14:paraId="792052C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Dodatkowo, należy podkreślić, że północna część terenu o symbolu 1R/Zn położona jest w dolinie rzeki Miazgi, wskazanej na rysunku planu, chronionej przed zabudową ze względu na konieczność zapewnienia funkcji przyrodniczej doliny stanowiącej istotny k</w:t>
      </w:r>
      <w:r>
        <w:rPr>
          <w:color w:val="000000"/>
          <w:u w:color="000000"/>
        </w:rPr>
        <w:t>orytarz ekologiczny w skali miasta. Studium uwarunkowań i kierunków zagospodarowania przestrzennego miasta Łodzi w zakresie zasad kształtowania i ochrony środowiska przyrodniczego ustala m.in. ochronę istniejących korytarzy ekologicznych i kształtowanie no</w:t>
      </w:r>
      <w:r>
        <w:rPr>
          <w:color w:val="000000"/>
          <w:u w:color="000000"/>
        </w:rPr>
        <w:t>wych powiązań pomiędzy terenami aktywnymi przyrodniczo, w celu zapewnienia spójności systemu przyrodniczego miasta oraz umożliwienia migracji roślin, zwierząt i grzybów.</w:t>
      </w:r>
    </w:p>
    <w:p w14:paraId="681470F6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Rzeka Miazga stanowi także istotny odbiornik wód opadowych dla obszaru objętego planem</w:t>
      </w:r>
      <w:r>
        <w:rPr>
          <w:color w:val="000000"/>
          <w:u w:color="000000"/>
        </w:rPr>
        <w:t xml:space="preserve"> oraz całego osiedla Nowosolna, co zostało ujęte w miejskich dokumentach dotyczących zarządzania wodami opadowymi i roztopowymi. Umożliwienie realizacji zabudowy w zasięgu doliny rzeki Miazgi spowoduje pogorszenie warunków hydrologicznych obszaru.</w:t>
      </w:r>
    </w:p>
    <w:p w14:paraId="733E7118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W zakres</w:t>
      </w:r>
      <w:r>
        <w:rPr>
          <w:color w:val="000000"/>
          <w:u w:color="000000"/>
        </w:rPr>
        <w:t>ie wstrzymania prac nad planem, zgodnie z art. 18 ustawy z dnia 27 marca 2003 r. o planowaniu i zagospodarowaniu przestrzennym cyt. „uwagi do projektu planu miejscowego może wnieść każdy, kto kwestionuje ustalenia przyjęte w projekcie planu, wyłożonym do p</w:t>
      </w:r>
      <w:r>
        <w:rPr>
          <w:color w:val="000000"/>
          <w:u w:color="000000"/>
        </w:rPr>
        <w:t>ublicznego wglądu (…)”. Uwagi w tym zakresie nie dotyczą ustaleń planu miejscowego, w związku z czym nie mogą być uwzględnione ze względów formalnych.</w:t>
      </w:r>
    </w:p>
    <w:p w14:paraId="3D859CDB" w14:textId="77777777" w:rsidR="00A77B3E" w:rsidRDefault="00F12DE7">
      <w:pPr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185B57" w14:paraId="1268C476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9DF5034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714C225" w14:textId="77777777" w:rsidR="00A77B3E" w:rsidRDefault="00F12DE7">
            <w:pPr>
              <w:spacing w:before="560" w:after="56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sz w:val="22"/>
                <w:u w:color="000000"/>
              </w:rPr>
              <w:t>Przewodniczący</w:t>
            </w:r>
            <w:r>
              <w:rPr>
                <w:b/>
                <w:color w:val="000000"/>
                <w:sz w:val="22"/>
                <w:u w:color="000000"/>
              </w:rPr>
              <w:br/>
              <w:t>Rady Miejskiej w Łodzi</w:t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b/>
                <w:color w:val="000000"/>
                <w:sz w:val="22"/>
                <w:u w:color="000000"/>
              </w:rPr>
              <w:t>Bartosz DOMASZEWICZ </w:t>
            </w:r>
          </w:p>
        </w:tc>
      </w:tr>
    </w:tbl>
    <w:p w14:paraId="58458D20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46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</w:p>
    <w:p w14:paraId="7F43EF8B" w14:textId="77777777" w:rsidR="00A77B3E" w:rsidRDefault="00F12DE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6C49AF6A" w14:textId="77777777" w:rsidR="00A77B3E" w:rsidRDefault="00F12DE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 zapisanych w planie inwestycji z zakresu infrastruktury technicznej, które należą do zadań własnych gminy oraz zasadach ich finansowania</w:t>
      </w:r>
      <w:r>
        <w:rPr>
          <w:b/>
          <w:color w:val="000000"/>
          <w:u w:color="000000"/>
        </w:rPr>
        <w:t xml:space="preserve"> zgodnie z przepisami o finansach publicznych.</w:t>
      </w:r>
    </w:p>
    <w:p w14:paraId="61DB6287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 xml:space="preserve">Do zadań z zakresu infrastruktury technicznej będących zadaniami własnymi gminy w planie należy budowa dróg publicznych, w tym: jezdni, chodników oraz sieci oświetlenia ulicznego oraz uzbrojenie terenu w sieć </w:t>
      </w:r>
      <w:r>
        <w:rPr>
          <w:color w:val="000000"/>
          <w:u w:color="000000"/>
        </w:rPr>
        <w:t>wodociągową, sieć kanalizacji sanitarnej oraz sieć kanalizacji deszczowej z uwzględnieniem realizacji zbiornika na wody opadowe i rowów przydrożnych.</w:t>
      </w:r>
    </w:p>
    <w:p w14:paraId="385FB9F9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</w:t>
      </w:r>
      <w:r>
        <w:rPr>
          <w:color w:val="000000"/>
          <w:u w:color="000000"/>
        </w:rPr>
        <w:t>nie w zadaniach rzeczowych budżetu gminy objętych wieloletnią prognozą finansową.</w:t>
      </w:r>
    </w:p>
    <w:p w14:paraId="4B6E52A2" w14:textId="77777777" w:rsidR="00A77B3E" w:rsidRDefault="00F12DE7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</w:t>
      </w:r>
      <w:r>
        <w:rPr>
          <w:color w:val="000000"/>
          <w:u w:color="000000"/>
        </w:rPr>
        <w:t xml:space="preserve"> możliwych do pozyskania środków zewnętrznych.</w:t>
      </w:r>
    </w:p>
    <w:p w14:paraId="6264EE23" w14:textId="77777777" w:rsidR="00A77B3E" w:rsidRDefault="00F12DE7">
      <w:pPr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185B57" w14:paraId="6D198262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5109406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80B85D0" w14:textId="77777777" w:rsidR="00A77B3E" w:rsidRDefault="00F12DE7">
            <w:pPr>
              <w:spacing w:before="560" w:after="56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sz w:val="22"/>
                <w:u w:color="000000"/>
              </w:rPr>
              <w:t>Przewodniczący</w:t>
            </w:r>
            <w:r>
              <w:rPr>
                <w:b/>
                <w:color w:val="000000"/>
                <w:sz w:val="22"/>
                <w:u w:color="000000"/>
              </w:rPr>
              <w:br/>
              <w:t>Rady Miejskiej w Łodzi</w:t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b/>
                <w:color w:val="000000"/>
                <w:sz w:val="22"/>
                <w:u w:color="000000"/>
              </w:rPr>
              <w:t>Bartosz DOMASZEWICZ</w:t>
            </w:r>
          </w:p>
        </w:tc>
      </w:tr>
    </w:tbl>
    <w:p w14:paraId="06ABD354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47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</w:p>
    <w:p w14:paraId="08D6FC62" w14:textId="59263F80" w:rsidR="00A77B3E" w:rsidRDefault="00F12DE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 nr  4 do uchwały</w:t>
      </w:r>
      <w:r>
        <w:rPr>
          <w:color w:val="000000"/>
          <w:u w:color="000000"/>
        </w:rPr>
        <w:t xml:space="preserve"> Nr                     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rPr>
          <w:sz w:val="22"/>
        </w:rPr>
        <w:t xml:space="preserve">z dnia </w:t>
      </w:r>
      <w:r>
        <w:rPr>
          <w:sz w:val="22"/>
        </w:rPr>
        <w:t>                          r.</w:t>
      </w:r>
      <w:r>
        <w:rPr>
          <w:color w:val="000000"/>
          <w:u w:color="000000"/>
        </w:rPr>
        <w:br/>
      </w:r>
      <w:hyperlink r:id="rId48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3A9CFE4A" w14:textId="77777777" w:rsidR="00A77B3E" w:rsidRDefault="00F12DE7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49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 xml:space="preserve">Dane przestrzenne, o których mowa w art. 67a ust. 3 i 5 ustawy z dnia 27 marca 2003 r. o planowaniu i zagospodarowaniu przestrzennym </w:t>
      </w:r>
      <w:r>
        <w:rPr>
          <w:b/>
          <w:color w:val="000000"/>
          <w:u w:color="000000"/>
        </w:rPr>
        <w:t>(j.t. Dz.U. z 2020 r. poz. 293 z późn. zm.) ujawnione zostaną po kliknięciu w ikonę.</w:t>
      </w:r>
    </w:p>
    <w:p w14:paraId="33D429AF" w14:textId="77777777" w:rsidR="00185B57" w:rsidRDefault="00185B57">
      <w:pPr>
        <w:rPr>
          <w:szCs w:val="20"/>
        </w:rPr>
      </w:pPr>
    </w:p>
    <w:p w14:paraId="6D4FFF61" w14:textId="77777777" w:rsidR="00185B57" w:rsidRDefault="00F12DE7">
      <w:pPr>
        <w:jc w:val="center"/>
        <w:rPr>
          <w:sz w:val="22"/>
          <w:szCs w:val="20"/>
        </w:rPr>
      </w:pPr>
      <w:r>
        <w:rPr>
          <w:b/>
          <w:sz w:val="22"/>
          <w:szCs w:val="20"/>
        </w:rPr>
        <w:t>Uzasadnienie</w:t>
      </w:r>
    </w:p>
    <w:p w14:paraId="31052027" w14:textId="77777777" w:rsidR="00185B57" w:rsidRDefault="00F12DE7">
      <w:pPr>
        <w:spacing w:before="120" w:after="120"/>
        <w:ind w:left="283"/>
        <w:jc w:val="center"/>
        <w:rPr>
          <w:color w:val="000000"/>
          <w:sz w:val="22"/>
          <w:szCs w:val="20"/>
          <w:u w:color="000000"/>
        </w:rPr>
      </w:pPr>
      <w:r>
        <w:rPr>
          <w:b/>
          <w:sz w:val="22"/>
          <w:szCs w:val="20"/>
        </w:rPr>
        <w:t xml:space="preserve">do projektu uchwały w sprawie uchwalenia miejscowego planu zagospodarowania przestrzennego dla części obszaru miasta Łodzi położonej w rejonie ulicy </w:t>
      </w:r>
      <w:r>
        <w:rPr>
          <w:b/>
          <w:sz w:val="22"/>
          <w:szCs w:val="20"/>
        </w:rPr>
        <w:t>Wiączyńskiej i autostrady A1.</w:t>
      </w:r>
    </w:p>
    <w:p w14:paraId="2CAF520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Projekt planu (wraz z „Prognozą oddziaływania na środowisko” i „Prognozą skutków finansowych uchwalenia planu miejscowego”) został opracowany na podstawie uchwały Nr L/1541/21 Rady Miejskiej w Łodzi z dnia 17 listopada 2021 r.</w:t>
      </w:r>
      <w:r>
        <w:rPr>
          <w:color w:val="000000"/>
          <w:sz w:val="22"/>
          <w:szCs w:val="20"/>
          <w:u w:color="000000"/>
        </w:rPr>
        <w:t xml:space="preserve"> w sprawie przystąpienia do sporządzenia miejscowego planu zagospodarowania przestrzennego dla części obszaru miasta Łodzi położonej w rejonie ulicy Wiączyńskiej i autostrady A1. Powierzchnia obszaru objętego ustaleniami planu wynosi ok. 63,66 ha.</w:t>
      </w:r>
    </w:p>
    <w:p w14:paraId="5CE9E866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Przedmio</w:t>
      </w:r>
      <w:r>
        <w:rPr>
          <w:color w:val="000000"/>
          <w:sz w:val="22"/>
          <w:szCs w:val="20"/>
          <w:u w:color="000000"/>
        </w:rPr>
        <w:t>tem planu, zgodnie z jego uchwałą inicjującą, jest ustalenie przeznaczenia i sposobu zagospodarowania terenów zgodnie z wymogami ładu przestrzennego oraz realizowaną polityką przestrzenną miasta określoną w obowiązującym Studium uwarunkowań i kierunków zag</w:t>
      </w:r>
      <w:r>
        <w:rPr>
          <w:color w:val="000000"/>
          <w:sz w:val="22"/>
          <w:szCs w:val="20"/>
          <w:u w:color="000000"/>
        </w:rPr>
        <w:t>ospodarowania przestrzennego miasta Łodzi przyjętego uchwałą Nr LXIX/1753/18 Rady Miejskiej w Łodzi z dnia 28 marca 2018 r., zmienionego uchwałą Nr VI/215/19 Rady Miejskiej w Łodzi z dnia 6 marca 2019 r. oraz uchwałą Nr LII/1605/21 Rady Miejskiej w Łodzi z</w:t>
      </w:r>
      <w:r>
        <w:rPr>
          <w:color w:val="000000"/>
          <w:sz w:val="22"/>
          <w:szCs w:val="20"/>
          <w:u w:color="000000"/>
        </w:rPr>
        <w:t> dnia 22 grudnia 2021 r.</w:t>
      </w:r>
    </w:p>
    <w:p w14:paraId="14856A7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Projekt przedstawionej uchwały jest zgodny z obowiązującym Studium uwarunkowań i kierunków zagospodarowania przestrzennego miasta Łodzi. Dla obszaru objętego planem miejscowym Studium wyznacza następujące tereny: zabudowy mieszkani</w:t>
      </w:r>
      <w:r>
        <w:rPr>
          <w:color w:val="000000"/>
          <w:sz w:val="22"/>
          <w:szCs w:val="20"/>
          <w:u w:color="000000"/>
        </w:rPr>
        <w:t>owej w układach ulicowych (PM), aktywne przyrodniczo, w tym użytkowane przyrodniczo (O) oraz tereny dróg publicznych.</w:t>
      </w:r>
    </w:p>
    <w:p w14:paraId="5D5165A3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Celem prac planistycznych było określenie zasięgu terenów przeznaczonych pod urbanizację oraz zasad zabudowy i zagospodarowania terenów wy</w:t>
      </w:r>
      <w:r>
        <w:rPr>
          <w:color w:val="000000"/>
          <w:sz w:val="22"/>
          <w:szCs w:val="20"/>
          <w:u w:color="000000"/>
        </w:rPr>
        <w:t>nikających w znacznym stopniu z unikatowego układu przestrzennego osiedla Nowosolna, usprawnienie jego obsługi komunikacyjnej (m.in. poprzez uwzględnienie przebiegu projektowanej obwodnicy) oraz ochronę naturalnego obniżenia dolinnego rzeki Miazgi.</w:t>
      </w:r>
    </w:p>
    <w:p w14:paraId="16B51055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W plani</w:t>
      </w:r>
      <w:r>
        <w:rPr>
          <w:color w:val="000000"/>
          <w:sz w:val="22"/>
          <w:szCs w:val="20"/>
          <w:u w:color="000000"/>
        </w:rPr>
        <w:t>e, kierując się zasadami zrównoważonego rozwoju, wyznaczono zasięg terenów inwestycyjnych, tj. przeznaczonych pod zabudowę mieszkaniową jednorodzinną z dopuszczeniem usług, a także terenów otwartych, których ochrona przed urbanizacją jest niezbędna dla zac</w:t>
      </w:r>
      <w:r>
        <w:rPr>
          <w:color w:val="000000"/>
          <w:sz w:val="22"/>
          <w:szCs w:val="20"/>
          <w:u w:color="000000"/>
        </w:rPr>
        <w:t>howania unikatowych walorów przyrodniczych i krajobrazowych osiedla.</w:t>
      </w:r>
    </w:p>
    <w:p w14:paraId="3B4058DB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Na obszarze, dla którego sporządzono niniejszy projekt planu nie obowiązuje żaden miejscowy plan zagospodarowania przestrzennego, w związku z czym określanie sposobu zagospodarowania i wa</w:t>
      </w:r>
      <w:r>
        <w:rPr>
          <w:color w:val="000000"/>
          <w:sz w:val="22"/>
          <w:szCs w:val="20"/>
          <w:u w:color="000000"/>
        </w:rPr>
        <w:t>runków zabudowy terenu odbywa się w drodze decyzji o warunkach zabudowy i zagospodarowania terenu. Daje to możliwość urbanizacji znacznych powierzchni terenów w sprzeczności z wymogami ładu przestrzennego, ochrony środowiska czy ekonomii miasta.</w:t>
      </w:r>
    </w:p>
    <w:p w14:paraId="2E9DAA71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Rysunek pl</w:t>
      </w:r>
      <w:r>
        <w:rPr>
          <w:color w:val="000000"/>
          <w:sz w:val="22"/>
          <w:szCs w:val="20"/>
          <w:u w:color="000000"/>
        </w:rPr>
        <w:t>anu stanowiący Załącznik Nr 1 do uchwały wykonano na mapie zasadniczej w skali 1:2000. Przesłankami zastosowania niniejszej skali jest relatywnie duża powierzchnia obszaru objętego planem miejscowym, niewielki udział obszarów wyłączonych z możliwości inwes</w:t>
      </w:r>
      <w:r>
        <w:rPr>
          <w:color w:val="000000"/>
          <w:sz w:val="22"/>
          <w:szCs w:val="20"/>
          <w:u w:color="000000"/>
        </w:rPr>
        <w:t>tycji oraz znikoma liczba działek ewidencyjnych o niedużych powierzchniach. Zastosowana skala nie wpłynie negatywnie na czytelność rysunku.</w:t>
      </w:r>
    </w:p>
    <w:p w14:paraId="71A08591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Ustalenia projektu planu miejscowego określają przeznaczenie, zasady zabudowy i zagospodarowania terenu, wymagania w</w:t>
      </w:r>
      <w:r>
        <w:rPr>
          <w:color w:val="000000"/>
          <w:sz w:val="22"/>
          <w:szCs w:val="20"/>
          <w:u w:color="000000"/>
        </w:rPr>
        <w:t>ynikające z potrzeb kształtowania przestrzeni publicznych, zasady prawidłowej obsługi komunikacyjnej w powiązaniu z istniejącym układem komunikacyjnym miasta oraz systemowe rozwiązania w zakresie infrastruktury technicznej.</w:t>
      </w:r>
    </w:p>
    <w:p w14:paraId="363107AF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Procedura formalno-prawna sporzą</w:t>
      </w:r>
      <w:r>
        <w:rPr>
          <w:color w:val="000000"/>
          <w:sz w:val="22"/>
          <w:szCs w:val="20"/>
          <w:u w:color="000000"/>
        </w:rPr>
        <w:t>dzenia planu miejscowego została przeprowadzona w trybie art. 17 ustawy z dnia 27 marca 2003 r. o planowaniu i zagospodarowaniu przestrzennym (Dz. U. z 2024 r. poz. 1130, 1907 i 1940 oraz z 2025 r. poz. 527, 680 i 1668), w związku z art. 67 ust. 3 pkt 1 i </w:t>
      </w:r>
      <w:r>
        <w:rPr>
          <w:color w:val="000000"/>
          <w:sz w:val="22"/>
          <w:szCs w:val="20"/>
          <w:u w:color="000000"/>
        </w:rPr>
        <w:t>4 ustawy z dnia 7 lipca 2023 r. o zmianie ustawy o planowaniu i zagospodarowaniu przestrzennym oraz niektórych innych ustaw (Dz. U. poz. 1688, z 2024 r. poz. 1824 oraz z 2025 r. poz. 527, 1543 i 1668).</w:t>
      </w:r>
    </w:p>
    <w:p w14:paraId="12008FBB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b/>
          <w:color w:val="000000"/>
          <w:sz w:val="22"/>
          <w:szCs w:val="20"/>
          <w:u w:color="000000"/>
        </w:rPr>
        <w:t>I. Realizacja wymogów wynikających z art. 1 ust. 2 - 4</w:t>
      </w:r>
      <w:r>
        <w:rPr>
          <w:b/>
          <w:color w:val="000000"/>
          <w:sz w:val="22"/>
          <w:szCs w:val="20"/>
          <w:u w:color="000000"/>
        </w:rPr>
        <w:t> ustawy z dnia 27 marca 2003 r. o planowaniu i zagospodarowaniu przestrzennym.</w:t>
      </w:r>
    </w:p>
    <w:p w14:paraId="3A96B387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1. </w:t>
      </w:r>
      <w:r>
        <w:rPr>
          <w:color w:val="000000"/>
          <w:sz w:val="22"/>
          <w:szCs w:val="20"/>
          <w:u w:val="single" w:color="000000"/>
        </w:rPr>
        <w:t>W projekcie planu uwzględniono:</w:t>
      </w:r>
    </w:p>
    <w:p w14:paraId="42721D88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1) wymagania ładu przestrzennego, w tym urbanistyki i architektury oraz walory architektoniczne i krajobrazowe poprzez:</w:t>
      </w:r>
    </w:p>
    <w:p w14:paraId="2EE3BBEE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a) określenie </w:t>
      </w:r>
      <w:r>
        <w:rPr>
          <w:color w:val="000000"/>
          <w:sz w:val="22"/>
          <w:szCs w:val="20"/>
          <w:u w:color="000000"/>
        </w:rPr>
        <w:t>przeznaczenia terenów, spójne z dotychczasowymi założeniami i tendencjami w rozwoju obszaru oraz polityką przestrzenną Miasta wyrażoną w studium uwarunkowań i kierunków zagospodarowania przestrzennego, precyzujące założenia urbanistyczne dla jego funkcjono</w:t>
      </w:r>
      <w:r>
        <w:rPr>
          <w:color w:val="000000"/>
          <w:sz w:val="22"/>
          <w:szCs w:val="20"/>
          <w:u w:color="000000"/>
        </w:rPr>
        <w:t>wania oraz szanujące warunki krajobrazowe i środowiskowe (ochrona naturalnego obniżenia dolinnego rzeki Miazgi, tereny otwarte),</w:t>
      </w:r>
    </w:p>
    <w:p w14:paraId="71AD64E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b) określenie zasad kształtowania zabudowy zgodnie z wyznaczonymi na rysunku planu liniami zabudowy, wskaźnikami i parametrami </w:t>
      </w:r>
      <w:r>
        <w:rPr>
          <w:color w:val="000000"/>
          <w:sz w:val="22"/>
          <w:szCs w:val="20"/>
          <w:u w:color="000000"/>
        </w:rPr>
        <w:t>oraz określenie kolorystyki i rodzajów materiałów wykończeniowych,</w:t>
      </w:r>
    </w:p>
    <w:p w14:paraId="24053B7A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c) ochronę krajobrazu poprzez podporządkowanie nowego sposobu zagospodarowania walorom zagospodarowania dla obszaru osiedla Nowosolna poprzez zachowanie charakterystycznych cech:  układu si</w:t>
      </w:r>
      <w:r>
        <w:rPr>
          <w:color w:val="000000"/>
          <w:sz w:val="22"/>
          <w:szCs w:val="20"/>
          <w:u w:color="000000"/>
        </w:rPr>
        <w:t>eci ulic, zachowanie czytelności charakterystycznych podziałów własnościowych, ciągłość i spójność przestrzenna krajobrazu otwartego doliny rzeki Miazgi, wyraźny podział przestrzenny zachowanego układu ruralistycznego na krajobraz siedliska dawnej wsi i kr</w:t>
      </w:r>
      <w:r>
        <w:rPr>
          <w:color w:val="000000"/>
          <w:sz w:val="22"/>
          <w:szCs w:val="20"/>
          <w:u w:color="000000"/>
        </w:rPr>
        <w:t>ajobraz otwarty,</w:t>
      </w:r>
    </w:p>
    <w:p w14:paraId="77C78278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d) wskazanie granic „Krajobrazu Priorytetowego – Kulminacja Wzniesień Łódzkich” wyznaczonych w Audycie krajobrazowym województwa łódzkiego uchwalonym uchwałą Nr XIII/150/25 Sejmiku Województwa Łódzkiego z dnia 15 kwietnia 2025 r. w sprawie</w:t>
      </w:r>
      <w:r>
        <w:rPr>
          <w:color w:val="000000"/>
          <w:sz w:val="22"/>
          <w:szCs w:val="20"/>
          <w:u w:color="000000"/>
        </w:rPr>
        <w:t xml:space="preserve"> uchwalenia Audytu krajobrazowego województwa łódzkiego;</w:t>
      </w:r>
    </w:p>
    <w:p w14:paraId="3BE53CEA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2) wymagania ochrony środowiska, w tym gospodarowania wodami i ochrony gruntów rolnych i leśnych poprzez:</w:t>
      </w:r>
    </w:p>
    <w:p w14:paraId="645EB8A5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a) ustalenie ograniczeń w zakresie wykorzystywania terenów,</w:t>
      </w:r>
    </w:p>
    <w:p w14:paraId="20DE7167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b) ustalenia chroniące tereny otw</w:t>
      </w:r>
      <w:r>
        <w:rPr>
          <w:color w:val="000000"/>
          <w:sz w:val="22"/>
          <w:szCs w:val="20"/>
          <w:u w:color="000000"/>
        </w:rPr>
        <w:t>arte oraz cenne przyrodniczo (naturalne obniżenie dolinne rzeki Miazgi oraz jej dopływu),</w:t>
      </w:r>
    </w:p>
    <w:p w14:paraId="10B13FA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c) ograniczenie przeznaczania gruntów rolnych na funkcje nierolnicze,</w:t>
      </w:r>
    </w:p>
    <w:p w14:paraId="7AE2DAB4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d) zmniejszenie podatności na zmiany klimatu poprzez ustalenie ograniczeń w zakresie wykorzystyw</w:t>
      </w:r>
      <w:r>
        <w:rPr>
          <w:color w:val="000000"/>
          <w:sz w:val="22"/>
          <w:szCs w:val="20"/>
          <w:u w:color="000000"/>
        </w:rPr>
        <w:t>ania terenów, określenie minimalnej powierzchni biologicznie czynnej oraz umożliwienie lokalizacji urządzeń wytwarzających energię z odnawialnych źródeł energii o mocy nieprzekraczającej moc mikroinstalacji, o której mowa w przepisach odrębnych z zakresu o</w:t>
      </w:r>
      <w:r>
        <w:rPr>
          <w:color w:val="000000"/>
          <w:sz w:val="22"/>
          <w:szCs w:val="20"/>
          <w:u w:color="000000"/>
        </w:rPr>
        <w:t>dnawialnych źródeł energii, przy czym na obszarze planu nie wprowadza się zakazu, o którym mowa w art. 15 ust. 4 ustawy z dnia 27 marca 2003 r. o planowaniu i zagospodarowaniu przestrzennym;</w:t>
      </w:r>
    </w:p>
    <w:p w14:paraId="6BED15B6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3) wymagania ochrony dziedzictwa kulturowego i zabytków oraz dóbr</w:t>
      </w:r>
      <w:r>
        <w:rPr>
          <w:color w:val="000000"/>
          <w:sz w:val="22"/>
          <w:szCs w:val="20"/>
          <w:u w:color="000000"/>
        </w:rPr>
        <w:t xml:space="preserve"> kultury współczesnej poprzez uwzględnienie stanowisk archeologicznych wraz ze strefami ochrony archeologicznej,</w:t>
      </w:r>
    </w:p>
    <w:p w14:paraId="0166DDBC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4) wymagania ochrony zdrowia oraz bezpieczeństwa ludzi i mienia, a także potrzeby osób ze szczególnymi potrzebami, o których mowa w ustawie z d</w:t>
      </w:r>
      <w:r>
        <w:rPr>
          <w:color w:val="000000"/>
          <w:sz w:val="22"/>
          <w:szCs w:val="20"/>
          <w:u w:color="000000"/>
        </w:rPr>
        <w:t>nia 19 lipca 2019 r. o zapewnianiu dostępności osobom ze szczególnymi potrzebami (Dz. U. z 2024 r. poz. 1411) poprzez:</w:t>
      </w:r>
    </w:p>
    <w:p w14:paraId="62551716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a) ustalenie zasad ochrony środowiska, wymagań wynikających z potrzeb kształtowania przestrzeni publicznych oraz zasad w zakresie miejsc </w:t>
      </w:r>
      <w:r>
        <w:rPr>
          <w:color w:val="000000"/>
          <w:sz w:val="22"/>
          <w:szCs w:val="20"/>
          <w:u w:color="000000"/>
        </w:rPr>
        <w:t>parkingowych przeznaczonych na parkowanie pojazdów zaopatrzonych w kartę parkingową,</w:t>
      </w:r>
    </w:p>
    <w:p w14:paraId="7563A41F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b) ograniczenie wysokości obiektów budowlanych na całym obszarze planu do maksymalnie 30,0 m, co uniemożliwia lokalizowanie obiektów stanowiących przeszkody lotnicze oraz </w:t>
      </w:r>
      <w:r>
        <w:rPr>
          <w:color w:val="000000"/>
          <w:sz w:val="22"/>
          <w:szCs w:val="20"/>
          <w:u w:color="000000"/>
        </w:rPr>
        <w:t>obiektów przekraczających strefę powierzchni ograniczającej lotniska Łódź-Lublinek (OLS) wskazaną na rysunku planu,</w:t>
      </w:r>
    </w:p>
    <w:p w14:paraId="0A9C2B9B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c) ustalenie szczególnych warunków zagospodarowania terenów oraz ograniczeń w ich użytkowaniu;</w:t>
      </w:r>
    </w:p>
    <w:p w14:paraId="244193FB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5) walory ekonomiczne przestrzeni poprzez </w:t>
      </w:r>
      <w:r>
        <w:rPr>
          <w:color w:val="000000"/>
          <w:sz w:val="22"/>
          <w:szCs w:val="20"/>
          <w:u w:color="000000"/>
        </w:rPr>
        <w:t>racjonalnie wykorzystanie istniejących elementów wyposażenia technicznego i zagospodarowania terenu przy wyznaczaniu nowych terenów inwestycyjnych;</w:t>
      </w:r>
    </w:p>
    <w:p w14:paraId="02D6C048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6) prawo własności, wyznaczając liniami rozgraniczającymi tereny przeznaczone pod zabudowę, w uporządkowanyc</w:t>
      </w:r>
      <w:r>
        <w:rPr>
          <w:color w:val="000000"/>
          <w:sz w:val="22"/>
          <w:szCs w:val="20"/>
          <w:u w:color="000000"/>
        </w:rPr>
        <w:t>h relacjach w stosunku do inwestycji celu publicznego oraz w sposób najmniej ingerujący w nieruchomości stanowiące własność prywatną;</w:t>
      </w:r>
    </w:p>
    <w:p w14:paraId="039B3133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7) potrzeby obronności i bezpieczeństwa państwa poprzez uzyskanie uzgodnień z właściwymi organami wojskowymi, ochrony gran</w:t>
      </w:r>
      <w:r>
        <w:rPr>
          <w:color w:val="000000"/>
          <w:sz w:val="22"/>
          <w:szCs w:val="20"/>
          <w:u w:color="000000"/>
        </w:rPr>
        <w:t>ic oraz bezpieczeństwa państwa, umożliwienie lokalizacji budowli ochronnych poprzez wyznaczenie terenów, na których dopuszczona jest lokalizacja budynków;</w:t>
      </w:r>
    </w:p>
    <w:p w14:paraId="73BB16FE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8) potrzeby interesu publicznego poprzez wskazanie w projekcie planu terenów przeznaczonych pod drogi</w:t>
      </w:r>
      <w:r>
        <w:rPr>
          <w:color w:val="000000"/>
          <w:sz w:val="22"/>
          <w:szCs w:val="20"/>
          <w:u w:color="000000"/>
        </w:rPr>
        <w:t xml:space="preserve"> publiczne oraz ustalenia z zakresu infrastruktury technicznej;</w:t>
      </w:r>
    </w:p>
    <w:p w14:paraId="6B6DF836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9) potrzeby w zakresie rozwoju infrastruktury technicznej, w szczególności sieci szerokopasmowych, określając możliwość wyposażenia terenów w sieci i urządzenia infrastruktury technicznej oraz</w:t>
      </w:r>
      <w:r>
        <w:rPr>
          <w:color w:val="000000"/>
          <w:sz w:val="22"/>
          <w:szCs w:val="20"/>
          <w:u w:color="000000"/>
        </w:rPr>
        <w:t> precyzując zasady ich realizacji;</w:t>
      </w:r>
    </w:p>
    <w:p w14:paraId="74D81A8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10) zapewnienie udziału społeczeństwa w pracach nad miejscowym planem zagospodarowania przestrzennego, w tym przy użyciu środków komunikacji elektronicznej, oraz zachowanie jawności i przejrzystości procedur planistycznyc</w:t>
      </w:r>
      <w:r>
        <w:rPr>
          <w:color w:val="000000"/>
          <w:sz w:val="22"/>
          <w:szCs w:val="20"/>
          <w:u w:color="000000"/>
        </w:rPr>
        <w:t>h poprzez:</w:t>
      </w:r>
    </w:p>
    <w:p w14:paraId="217F01C4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a) podanie do publicznej wiadomości informacji o przystąpieniu do sporządzenia projektu planu oraz o jego wyłożeniu do publicznego wglądu, zgodnie z wymogami przepisów ustawy z dnia 27 marca 2003 r. o planowaniu i zagospodarowaniu przestrzennym </w:t>
      </w:r>
      <w:r>
        <w:rPr>
          <w:color w:val="000000"/>
          <w:sz w:val="22"/>
          <w:szCs w:val="20"/>
          <w:u w:color="000000"/>
        </w:rPr>
        <w:t>oraz ustawy z dnia 3 października 2008 r. o udostępnianiu informacji o środowisku i jego ochronie, udziale społeczeństwa w ochronie środowiska oraz o ocenach oddziaływania na środowisko (Dz. U. z 2024 r. poz. 1112, 1881 i 1940 oraz z 2025 r. poz. 1535), w </w:t>
      </w:r>
      <w:r>
        <w:rPr>
          <w:color w:val="000000"/>
          <w:sz w:val="22"/>
          <w:szCs w:val="20"/>
          <w:u w:color="000000"/>
        </w:rPr>
        <w:t>formie ogłoszeń w prasie, obwieszczeń zawieszonych na tablicy ogłoszeń oraz zamieszczonych na stronie internetowej Miejskiej Pracowni Urbanistycznej w Łodzi,</w:t>
      </w:r>
    </w:p>
    <w:p w14:paraId="207389C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b) umożliwienie składania wniosków do planu oraz uwag do wyłożonego do publicznego wglądu projektu</w:t>
      </w:r>
      <w:r>
        <w:rPr>
          <w:color w:val="000000"/>
          <w:sz w:val="22"/>
          <w:szCs w:val="20"/>
          <w:u w:color="000000"/>
        </w:rPr>
        <w:t xml:space="preserve"> planu,</w:t>
      </w:r>
    </w:p>
    <w:p w14:paraId="0B788AE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c) udostępnienie projektu planu do wglądu w okresie jego wyłożenia do publicznego wglądu zarówno w siedzibie, jak i na stronie internetowej Miejskiej Pracowni Urbanistycznej w Łodzi,</w:t>
      </w:r>
    </w:p>
    <w:p w14:paraId="2A74A472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d) zorganizowanie i przeprowadzenie dyskusji publicznej,</w:t>
      </w:r>
    </w:p>
    <w:p w14:paraId="57D5608F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e) zamie</w:t>
      </w:r>
      <w:r>
        <w:rPr>
          <w:color w:val="000000"/>
          <w:sz w:val="22"/>
          <w:szCs w:val="20"/>
          <w:u w:color="000000"/>
        </w:rPr>
        <w:t>szczanie rozstrzygnięć Prezydenta Miasta Łodzi dotyczących składanych wniosków i uwag w Biuletynie Informacji Publicznej Urzędu Miasta Łodzi,</w:t>
      </w:r>
    </w:p>
    <w:p w14:paraId="2FE6422A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f) bieżące informowanie osób zainteresowanych o prowadzonych pracach projektowych oraz możliwość zapoznania się z </w:t>
      </w:r>
      <w:r>
        <w:rPr>
          <w:color w:val="000000"/>
          <w:sz w:val="22"/>
          <w:szCs w:val="20"/>
          <w:u w:color="000000"/>
        </w:rPr>
        <w:t>niezbędną dokumentacją sprawy;</w:t>
      </w:r>
    </w:p>
    <w:p w14:paraId="2F85148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11) potrzebę zapewnienia odpowiedniej ilości i jakości wody, do celów zaopatrzenia ludności poprzez wykorzystanie istniejącej sieci wodociągowej zapewniającej odpowiednią ilość i jakość wody do celów zaopatrzenia ludności ora</w:t>
      </w:r>
      <w:r>
        <w:rPr>
          <w:color w:val="000000"/>
          <w:sz w:val="22"/>
          <w:szCs w:val="20"/>
          <w:u w:color="000000"/>
        </w:rPr>
        <w:t>z ustalenie zasad modernizacji, rozbudowy i budowy systemów infrastruktury technicznej.</w:t>
      </w:r>
    </w:p>
    <w:p w14:paraId="1F7185FE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2. </w:t>
      </w:r>
      <w:r>
        <w:rPr>
          <w:color w:val="000000"/>
          <w:sz w:val="22"/>
          <w:szCs w:val="20"/>
          <w:u w:val="single" w:color="000000"/>
        </w:rPr>
        <w:t>W projekcie planu nie określono</w:t>
      </w:r>
      <w:r>
        <w:rPr>
          <w:color w:val="000000"/>
          <w:sz w:val="22"/>
          <w:szCs w:val="20"/>
          <w:u w:color="000000"/>
        </w:rPr>
        <w:t xml:space="preserve"> zasad ochrony dóbr kultury współczesnej oraz granic i sposobów zagospodarowania terenów lub obiektów podlegających ochronie na podsta</w:t>
      </w:r>
      <w:r>
        <w:rPr>
          <w:color w:val="000000"/>
          <w:sz w:val="22"/>
          <w:szCs w:val="20"/>
          <w:u w:color="000000"/>
        </w:rPr>
        <w:t>wie odrębnych przepisów, terenów górniczych, a także obszarów szczególnego zagrożenia powodzią, obszarów osuwania się mas ziemnych ze względu na fakt, że nie występują one w obszarze objętym przystąpieniem do sporządzenia planu.</w:t>
      </w:r>
    </w:p>
    <w:p w14:paraId="612E19EB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3. Ustalając przeznaczenie </w:t>
      </w:r>
      <w:r>
        <w:rPr>
          <w:color w:val="000000"/>
          <w:sz w:val="22"/>
          <w:szCs w:val="20"/>
          <w:u w:color="000000"/>
        </w:rPr>
        <w:t>terenu, a także określając sposób zagospodarowania i korzystania</w:t>
      </w:r>
      <w:r>
        <w:rPr>
          <w:color w:val="000000"/>
          <w:sz w:val="22"/>
          <w:szCs w:val="20"/>
          <w:u w:color="000000"/>
        </w:rPr>
        <w:br/>
        <w:t>z terenu, organ ważył interes publiczny i interesy prywatne, zmierzające do ochrony istniejącego stanu zagospodarowania terenu, jak i zmian w zakresie jego zagospodarowania, a także analizy e</w:t>
      </w:r>
      <w:r>
        <w:rPr>
          <w:color w:val="000000"/>
          <w:sz w:val="22"/>
          <w:szCs w:val="20"/>
          <w:u w:color="000000"/>
        </w:rPr>
        <w:t>konomiczne, środowiskowe i społeczne.</w:t>
      </w:r>
    </w:p>
    <w:p w14:paraId="40A53280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4. Wyznaczając poszczególne tereny z możliwością sytuowania nowej zabudowy uwzględniono wymagania ładu przestrzennego, efektywnego gospodarowania przestrzenią oraz walory ekonomiczne przestrzeni poprzez:</w:t>
      </w:r>
    </w:p>
    <w:p w14:paraId="1C8F2215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1) wprowadzeni</w:t>
      </w:r>
      <w:r>
        <w:rPr>
          <w:color w:val="000000"/>
          <w:sz w:val="22"/>
          <w:szCs w:val="20"/>
          <w:u w:color="000000"/>
        </w:rPr>
        <w:t>e ustaleń umożliwiających rozwój systemu komunikacyjnego w nawiązaniu do charakterystycznego dla osiedla Nowosolnej układu komunikacyjnego;</w:t>
      </w:r>
    </w:p>
    <w:p w14:paraId="3A1B4157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2) uwzględnienie przebiegu obwodnicy osiedla Nowosolnej;</w:t>
      </w:r>
    </w:p>
    <w:p w14:paraId="42A68BE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3) dopuszczenie w terenie zabudowy mieszkaniowej jednorodzi</w:t>
      </w:r>
      <w:r>
        <w:rPr>
          <w:color w:val="000000"/>
          <w:sz w:val="22"/>
          <w:szCs w:val="20"/>
          <w:u w:color="000000"/>
        </w:rPr>
        <w:t>nnej nieuciążliwych usług, co prowadzi do komplementarności obszaru;</w:t>
      </w:r>
    </w:p>
    <w:p w14:paraId="0A52334D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4) ustalenie przeznaczenia, a także wskaźników i parametrów zabudowy i zagospodarowania terenów (w tym maksymalnej powierzchni zabudowy budynków mieszkalnych i usługowych oraz maksymalnej</w:t>
      </w:r>
      <w:r>
        <w:rPr>
          <w:color w:val="000000"/>
          <w:sz w:val="22"/>
          <w:szCs w:val="20"/>
          <w:u w:color="000000"/>
        </w:rPr>
        <w:t xml:space="preserve"> powierzchni użytkowej usług handlu ze względu na szczególnie dużą transportochłonność funkcji handlowej) w sposób dążący do optymalnego wykorzystania przestrzeni poprzez uzupełnianie istniejącej zabudowy, tak aby zminimalizować transportochłonność układu </w:t>
      </w:r>
      <w:r>
        <w:rPr>
          <w:color w:val="000000"/>
          <w:sz w:val="22"/>
          <w:szCs w:val="20"/>
          <w:u w:color="000000"/>
        </w:rPr>
        <w:t>przestrzennego.</w:t>
      </w:r>
    </w:p>
    <w:p w14:paraId="0E86D9A8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 xml:space="preserve">5. </w:t>
      </w:r>
      <w:r>
        <w:rPr>
          <w:color w:val="000000"/>
          <w:sz w:val="22"/>
          <w:szCs w:val="20"/>
          <w:u w:val="single" w:color="000000"/>
        </w:rPr>
        <w:t>W projekcie planu nie ustalono</w:t>
      </w:r>
      <w:r>
        <w:rPr>
          <w:color w:val="000000"/>
          <w:sz w:val="22"/>
          <w:szCs w:val="20"/>
          <w:u w:color="000000"/>
        </w:rPr>
        <w:t xml:space="preserve"> szczególnych warunków zagospodarowania oraz ograniczeń w użytkowaniu wynikających z występowania istniejącej sieci wodociągowej. Podejmując decyzję Prezydent Miasta zważył interes Miasta, gestora sieci infr</w:t>
      </w:r>
      <w:r>
        <w:rPr>
          <w:color w:val="000000"/>
          <w:sz w:val="22"/>
          <w:szCs w:val="20"/>
          <w:u w:color="000000"/>
        </w:rPr>
        <w:t>astruktury technicznej oraz interesy prywatne właścicieli poszczególnych nieruchomości. Przepis art. 15 ust. 2 pkt 9 ustawy z dnia 27 marca 2003 r. o planowaniu i zagospodarowaniu przestrzennym daje organowi planistycznemu upoważnienie do zawarcia w planie</w:t>
      </w:r>
      <w:r>
        <w:rPr>
          <w:color w:val="000000"/>
          <w:sz w:val="22"/>
          <w:szCs w:val="20"/>
          <w:u w:color="000000"/>
        </w:rPr>
        <w:t xml:space="preserve"> miejscowym postanowień, które mogą w konsekwencji w sposób istotny ograniczać lub nawet pozbawić właściciela lub użytkownika wieczystego możliwości wykonywania konstytucyjnie chronionego prawa własności. Jednakże taka poważna ingerencja w prawo własności </w:t>
      </w:r>
      <w:r>
        <w:rPr>
          <w:color w:val="000000"/>
          <w:sz w:val="22"/>
          <w:szCs w:val="20"/>
          <w:u w:color="000000"/>
        </w:rPr>
        <w:t>musi być uzasadniona i proporcjonalna w stosunku do celów, których osiągnięciu ma służyć. Rezygnacja z ww. ustaleń podyktowana jest brakiem powszechnie obowiązujących przepisów prawnych nakazujących wprowadzenie określonych ograniczeń w zagospodarowaniu te</w:t>
      </w:r>
      <w:r>
        <w:rPr>
          <w:color w:val="000000"/>
          <w:sz w:val="22"/>
          <w:szCs w:val="20"/>
          <w:u w:color="000000"/>
        </w:rPr>
        <w:t>renu. Jednocześnie należy zwrócić uwagę, że lokalizacja planowanych inwestycji nie powinna być uzależniona od przebiegu infrastruktury technicznej, a jedynie od potrzeb kształtowania struktury przestrzennej miasta.</w:t>
      </w:r>
    </w:p>
    <w:p w14:paraId="6658BCD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6. Istniejąca sieć gazowa zlokalizowana j</w:t>
      </w:r>
      <w:r>
        <w:rPr>
          <w:color w:val="000000"/>
          <w:sz w:val="22"/>
          <w:szCs w:val="20"/>
          <w:u w:color="000000"/>
        </w:rPr>
        <w:t>est wyłącznie w liniach rozgraniczających tereny dróg publicznych o symbolu: 1KDZ i 1KDG – gazociąg niskiego ciśnienia o średnicy                  100 mm, wybudowany w roku 1985 (strefa kontrolowana – 1,5 m na każdą stronę gazociągu); 1KDZ i 1KDA – gazocią</w:t>
      </w:r>
      <w:r>
        <w:rPr>
          <w:color w:val="000000"/>
          <w:sz w:val="22"/>
          <w:szCs w:val="20"/>
          <w:u w:color="000000"/>
        </w:rPr>
        <w:t>g średniego ciśnienia o średnicy 63 mm, wybudowany    w roku 2013 (strefa kontrolowana – 0,5 m na każdą stronę gazociągu). Strefy kontrolowane                        ww. gazociągów w całości mieszczą się w liniach rozgraniczających terenów dróg publicznych</w:t>
      </w:r>
      <w:r>
        <w:rPr>
          <w:color w:val="000000"/>
          <w:sz w:val="22"/>
          <w:szCs w:val="20"/>
          <w:u w:color="000000"/>
        </w:rPr>
        <w:t xml:space="preserve"> w związku z czym nie zostały wskazane na rysunku projektu planu.</w:t>
      </w:r>
    </w:p>
    <w:p w14:paraId="7551C139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b/>
          <w:color w:val="000000"/>
          <w:sz w:val="22"/>
          <w:szCs w:val="20"/>
          <w:u w:color="000000"/>
        </w:rPr>
        <w:t>II. Zgodność z wynikami analizy dotyczącej oceny aktualności studium uwarunkowań i kierunków zagospodarowania przestrzennego oraz miejscowych planów zagospodarowania przestrzennego Łodzi.</w:t>
      </w:r>
    </w:p>
    <w:p w14:paraId="5C6E933A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Ocena aktualności Studium uwarunkowań i kierunków zagospodarowania przestrzennego oraz miejscowych planów zagospodarowania przestrzennego miasta Łodzi przyjęta uchwałą Nr LXXXVIII/2684/24 Rady Miejskiej w Łodzi z dnia 13 marca 2024 r. w sprawie aktualności</w:t>
      </w:r>
      <w:r>
        <w:rPr>
          <w:color w:val="000000"/>
          <w:sz w:val="22"/>
          <w:szCs w:val="20"/>
          <w:u w:color="000000"/>
        </w:rPr>
        <w:t xml:space="preserve"> Studium uwarunkowań i kierunków zagospodarowania przestrzennego oraz miejscowych planów zagospodarowania przestrzennego miasta Łodzi, wskazuje na potrzebę całościowej aktualizacji ustaleń Studium, która ma zostać dokonana w trakcie procedury planu ogólneg</w:t>
      </w:r>
      <w:r>
        <w:rPr>
          <w:color w:val="000000"/>
          <w:sz w:val="22"/>
          <w:szCs w:val="20"/>
          <w:u w:color="000000"/>
        </w:rPr>
        <w:t>o. Nie została jednak bezpośrednio wskazana konieczność aktualizacji ustaleń Studium w odniesieniu do obszaru objętego projektem planu, a obowiązujący plan miejscowy został uznany za aktualny. W związku z powyższym projekt planu jest zgodny z wynikami anal</w:t>
      </w:r>
      <w:r>
        <w:rPr>
          <w:color w:val="000000"/>
          <w:sz w:val="22"/>
          <w:szCs w:val="20"/>
          <w:u w:color="000000"/>
        </w:rPr>
        <w:t>izy dotyczącej oceny aktualności Studium. Podtrzymane zostają kierunki rozwoju ustalone w Studium.</w:t>
      </w:r>
    </w:p>
    <w:p w14:paraId="19130B17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b/>
          <w:color w:val="000000"/>
          <w:sz w:val="22"/>
          <w:szCs w:val="20"/>
          <w:u w:color="000000"/>
        </w:rPr>
        <w:t>III. Wpływ na finanse publiczne, w tym budżet gminy.</w:t>
      </w:r>
    </w:p>
    <w:p w14:paraId="0A9D1DDE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Prognoza finansowa określa potencjalne dochody i wydatki z tytułu uchwalenia miejscowego planu zagospoda</w:t>
      </w:r>
      <w:r>
        <w:rPr>
          <w:color w:val="000000"/>
          <w:sz w:val="22"/>
          <w:szCs w:val="20"/>
          <w:u w:color="000000"/>
        </w:rPr>
        <w:t>rowania przestrzennego. Wykonane obliczenia wykazały ujemny wynik finansowy, co oznacza, że wydatki generowane przez nowe zagospodarowanie przewyższają dochody. Największym obciążeniem dla budżetu gminy będą koszty związane z realizacją inwestycji z zakres</w:t>
      </w:r>
      <w:r>
        <w:rPr>
          <w:color w:val="000000"/>
          <w:sz w:val="22"/>
          <w:szCs w:val="20"/>
          <w:u w:color="000000"/>
        </w:rPr>
        <w:t>u układu komunikacyjnego oraz infrastruktury technicznej.</w:t>
      </w:r>
    </w:p>
    <w:p w14:paraId="488F7D14" w14:textId="77777777" w:rsidR="00185B57" w:rsidRDefault="00F12DE7">
      <w:pPr>
        <w:spacing w:before="120" w:after="120"/>
        <w:ind w:left="283"/>
        <w:rPr>
          <w:color w:val="000000"/>
          <w:sz w:val="22"/>
          <w:szCs w:val="20"/>
          <w:u w:color="000000"/>
        </w:rPr>
      </w:pPr>
      <w:r>
        <w:rPr>
          <w:color w:val="000000"/>
          <w:sz w:val="22"/>
          <w:szCs w:val="20"/>
          <w:u w:color="000000"/>
        </w:rPr>
        <w:t>Oszacowany poziom wyniku finansowego może odbiegać od rzeczywistych przyszłych rezultatów, z uwagi na nieprzewidywalność zachowań inwestorów, poziom cen rynkowych oraz zmienność uwarunkowań w czasie</w:t>
      </w:r>
      <w:r>
        <w:rPr>
          <w:color w:val="000000"/>
          <w:sz w:val="22"/>
          <w:szCs w:val="20"/>
          <w:u w:color="000000"/>
        </w:rPr>
        <w:t>. Opracowana prognoza pokazuje jedynie skalę pewnych zjawisk, które mogą wystąpić w konsekwencji uchwalenia planu miejscowego.</w:t>
      </w:r>
    </w:p>
    <w:sectPr w:rsidR="00185B57">
      <w:footerReference w:type="default" r:id="rId50"/>
      <w:endnotePr>
        <w:numFmt w:val="decimal"/>
      </w:endnotePr>
      <w:pgSz w:w="11906" w:h="16838"/>
      <w:pgMar w:top="141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11FD18" w14:textId="77777777" w:rsidR="00717EB9" w:rsidRDefault="00717EB9">
      <w:r>
        <w:separator/>
      </w:r>
    </w:p>
  </w:endnote>
  <w:endnote w:type="continuationSeparator" w:id="0">
    <w:p w14:paraId="5E919E66" w14:textId="77777777" w:rsidR="00717EB9" w:rsidRDefault="0071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5385353A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6388B18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23CDA07" w14:textId="77777777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857E77C" w14:textId="77777777" w:rsidR="00185B57" w:rsidRDefault="00185B5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43E21EB6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95DE395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1F089C5" w14:textId="529CDDA9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54C10548" w14:textId="77777777" w:rsidR="00185B57" w:rsidRDefault="00185B5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70C82C65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D196239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1D9EF90" w14:textId="66F079FA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4A5C0AAA" w14:textId="77777777" w:rsidR="00185B57" w:rsidRDefault="00185B57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32C0D54E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921110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8A59137" w14:textId="32846701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AC3E183" w14:textId="77777777" w:rsidR="00185B57" w:rsidRDefault="00185B57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3AF9E2D6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460104F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45E9153" w14:textId="1C705C85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F8002BC" w14:textId="77777777" w:rsidR="00185B57" w:rsidRDefault="00185B57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185B57" w14:paraId="5357D852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A2F3804" w14:textId="77777777" w:rsidR="00185B57" w:rsidRDefault="00F12DE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084D7CF" w14:textId="1D9A14EA" w:rsidR="00185B57" w:rsidRDefault="00F12DE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6C129D80" w14:textId="77777777" w:rsidR="00185B57" w:rsidRDefault="00185B5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B3ED2" w14:textId="77777777" w:rsidR="00717EB9" w:rsidRDefault="00717EB9">
      <w:r>
        <w:separator/>
      </w:r>
    </w:p>
  </w:footnote>
  <w:footnote w:type="continuationSeparator" w:id="0">
    <w:p w14:paraId="3302E6B6" w14:textId="77777777" w:rsidR="00717EB9" w:rsidRDefault="00717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63F58"/>
    <w:rsid w:val="00185B57"/>
    <w:rsid w:val="00444C6A"/>
    <w:rsid w:val="00717EB9"/>
    <w:rsid w:val="00A77B3E"/>
    <w:rsid w:val="00CA2A55"/>
    <w:rsid w:val="00F1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BE9668"/>
  <w15:docId w15:val="{173853AF-77D1-4488-A496-0EEE9AFF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Zalacznik863A85B2-3565-43FF-AA3E-61F9CB400391.png" TargetMode="External"/><Relationship Id="rId26" Type="http://schemas.openxmlformats.org/officeDocument/2006/relationships/image" Target="Zalacznik9A9CD06D-15C6-45D4-B0B7-8772F273FB4C.png" TargetMode="External"/><Relationship Id="rId39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image" Target="Zalacznik2CF1C3CC-D4F1-4574-8BC2-57B7085200C9.png" TargetMode="External"/><Relationship Id="rId42" Type="http://schemas.openxmlformats.org/officeDocument/2006/relationships/image" Target="Zalacznik64520EBB-B0DF-4D51-8E4D-F4EE3063AE78.png" TargetMode="External"/><Relationship Id="rId47" Type="http://schemas.openxmlformats.org/officeDocument/2006/relationships/footer" Target="footer4.xml"/><Relationship Id="rId50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image" Target="Zalacznik9861B164-CA56-421F-9612-7F1DCDC7A348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Zalacznik3EAE436F-DD32-464D-A0BD-C6C79B368BB7.png" TargetMode="External"/><Relationship Id="rId46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Zalacznik7BE663A4-CF1B-4971-BF1E-0C0E6243C802.png" TargetMode="External"/><Relationship Id="rId20" Type="http://schemas.openxmlformats.org/officeDocument/2006/relationships/image" Target="ZalacznikB4DFA2D2-07D0-4BD2-B3AE-FFEFF556F42B.pn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DEB28AC9-7E2E-4D36-AE9C-04BC922951EE.png" TargetMode="External"/><Relationship Id="rId32" Type="http://schemas.openxmlformats.org/officeDocument/2006/relationships/image" Target="ZalacznikAD67FD4E-B58A-4BD9-8F6C-9CE680BEDCD9.png" TargetMode="External"/><Relationship Id="rId37" Type="http://schemas.openxmlformats.org/officeDocument/2006/relationships/image" Target="media/image16.png"/><Relationship Id="rId40" Type="http://schemas.openxmlformats.org/officeDocument/2006/relationships/image" Target="ZalacznikFF594163-015A-46B1-8AB5-A7397DA6EC99.png" TargetMode="External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Zalacznik0802BA0A-474A-4827-832B-6BF064108F9A.png" TargetMode="External"/><Relationship Id="rId36" Type="http://schemas.openxmlformats.org/officeDocument/2006/relationships/image" Target="Zalacznik4D340AC9-795D-4446-823A-7774379FA147.png" TargetMode="External"/><Relationship Id="rId49" Type="http://schemas.openxmlformats.org/officeDocument/2006/relationships/footer" Target="footer5.xml"/><Relationship Id="rId10" Type="http://schemas.openxmlformats.org/officeDocument/2006/relationships/image" Target="Zalacznik295C1453-84C3-4CCB-AA7A-D8F563DDEF1D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Zalacznik218DC54E-ED97-43C8-8FD9-A5B9294F03BF.png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9265BBAB-22A1-4E3B-8C74-CA9886365467.png" TargetMode="External"/><Relationship Id="rId22" Type="http://schemas.openxmlformats.org/officeDocument/2006/relationships/image" Target="Zalacznik48515E69-B691-4DD6-ADB2-D8C16C921EF3.png" TargetMode="External"/><Relationship Id="rId27" Type="http://schemas.openxmlformats.org/officeDocument/2006/relationships/image" Target="media/image11.png"/><Relationship Id="rId30" Type="http://schemas.openxmlformats.org/officeDocument/2006/relationships/image" Target="Zalacznik3B0B9D73-4CED-4353-97F5-BA2FC7DB83E6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file:///D:\K-4941\Users\vgandziarska\AppData\Local\Temp\ezdpuw\20260123110021563\Zalacznik4.gml" TargetMode="External"/><Relationship Id="rId8" Type="http://schemas.openxmlformats.org/officeDocument/2006/relationships/image" Target="Zalacznik63B878FE-DA96-46D7-AFB7-34603D153381.pn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9185</Words>
  <Characters>55112</Characters>
  <Application>Microsoft Office Word</Application>
  <DocSecurity>0</DocSecurity>
  <Lines>459</Lines>
  <Paragraphs>128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64169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 rejonie ulicy Wiączyńskiej i autostrady A1.</dc:subject>
  <dc:creator>dkiedrzynski</dc:creator>
  <cp:lastModifiedBy>Violetta Gandziarska</cp:lastModifiedBy>
  <cp:revision>2</cp:revision>
  <dcterms:created xsi:type="dcterms:W3CDTF">2026-01-23T10:00:00Z</dcterms:created>
  <dcterms:modified xsi:type="dcterms:W3CDTF">2026-01-23T10:00:00Z</dcterms:modified>
  <cp:category>Akt prawny</cp:category>
</cp:coreProperties>
</file>