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A77B3E">
      <w:pPr>
        <w:ind w:left="5102"/>
        <w:jc w:val="left"/>
        <w:rPr>
          <w:b/>
          <w:i/>
          <w:u w:val="thick"/>
        </w:rPr>
      </w:pPr>
    </w:p>
    <w:p w:rsidR="00A77B3E" w:rsidRDefault="00A77B3E">
      <w:pPr>
        <w:ind w:left="5102"/>
        <w:jc w:val="left"/>
        <w:rPr>
          <w:b/>
          <w:i/>
          <w:u w:val="thick"/>
        </w:rPr>
      </w:pPr>
    </w:p>
    <w:p w:rsidR="00A77B3E" w:rsidRDefault="002957DC">
      <w:pPr>
        <w:ind w:left="5102"/>
        <w:jc w:val="left"/>
      </w:pPr>
      <w:r>
        <w:t xml:space="preserve">Druk Nr </w:t>
      </w:r>
      <w:r w:rsidR="00261CF1">
        <w:t>20/2026</w:t>
      </w:r>
      <w:r>
        <w:t xml:space="preserve">                   </w:t>
      </w:r>
    </w:p>
    <w:p w:rsidR="00A77B3E" w:rsidRDefault="002957DC">
      <w:pPr>
        <w:ind w:left="5102"/>
        <w:jc w:val="left"/>
      </w:pPr>
      <w:r>
        <w:t xml:space="preserve">Projekt z dnia  </w:t>
      </w:r>
      <w:r w:rsidR="00261CF1">
        <w:t>23.01.2026 r.</w:t>
      </w:r>
    </w:p>
    <w:p w:rsidR="00A77B3E" w:rsidRDefault="00A77B3E">
      <w:pPr>
        <w:ind w:left="5102"/>
        <w:jc w:val="left"/>
      </w:pPr>
    </w:p>
    <w:p w:rsidR="00A77B3E" w:rsidRDefault="002957DC">
      <w:pPr>
        <w:jc w:val="center"/>
        <w:rPr>
          <w:b/>
          <w:caps/>
        </w:rPr>
      </w:pPr>
      <w:r>
        <w:rPr>
          <w:b/>
          <w:caps/>
        </w:rPr>
        <w:t>Uchwała nr                     </w:t>
      </w:r>
      <w:r>
        <w:rPr>
          <w:b/>
          <w:caps/>
        </w:rPr>
        <w:br/>
        <w:t>Rady Miejskiej w Łodzi</w:t>
      </w:r>
    </w:p>
    <w:p w:rsidR="00A77B3E" w:rsidRDefault="002957DC">
      <w:pPr>
        <w:spacing w:before="280" w:after="280"/>
        <w:jc w:val="center"/>
        <w:rPr>
          <w:b/>
          <w:caps/>
        </w:rPr>
      </w:pPr>
      <w:r>
        <w:rPr>
          <w:b/>
        </w:rPr>
        <w:t>z dnia                           r.</w:t>
      </w:r>
    </w:p>
    <w:p w:rsidR="00A77B3E" w:rsidRDefault="002957DC">
      <w:pPr>
        <w:keepNext/>
        <w:spacing w:after="240"/>
        <w:jc w:val="center"/>
      </w:pPr>
      <w:bookmarkStart w:id="0" w:name="_GoBack"/>
      <w:r>
        <w:rPr>
          <w:b/>
        </w:rPr>
        <w:t>w sprawie ustalenia lokalizacji  inwestycji mieszkaniowej</w:t>
      </w:r>
      <w:r>
        <w:rPr>
          <w:b/>
        </w:rPr>
        <w:br/>
        <w:t>przy ulicy Targowej 55 w Łodzi</w:t>
      </w:r>
      <w:bookmarkEnd w:id="0"/>
      <w:r>
        <w:rPr>
          <w:b/>
        </w:rPr>
        <w:t>.</w:t>
      </w:r>
    </w:p>
    <w:p w:rsidR="00A77B3E" w:rsidRDefault="002957DC">
      <w:pPr>
        <w:keepLines/>
        <w:ind w:firstLine="567"/>
      </w:pPr>
      <w:r>
        <w:t>Na podstawie art. 18 ust. 2 pkt 15 ustawy z dnia 8 marca 1990 r. o samorządzie gminnym (Dz. U. z 2025 r. poz. 1153 i 1436) oraz art. 7 ust. 4 i art. 8 ustawy z dnia 5 lipca 2018 r. o ułatwieniach w przygotowaniu i realizacji inwestycji mieszkaniowych oraz inwestycji towarzyszących (Dz. U. z 2025 r. poz. 1754), Rada Miejska w Łodzi</w:t>
      </w:r>
    </w:p>
    <w:p w:rsidR="00A77B3E" w:rsidRDefault="002957DC">
      <w:pPr>
        <w:spacing w:before="120" w:after="240"/>
        <w:jc w:val="center"/>
        <w:rPr>
          <w:b/>
        </w:rPr>
      </w:pPr>
      <w:r>
        <w:rPr>
          <w:b/>
        </w:rPr>
        <w:t>uchwala, co następuje:</w:t>
      </w:r>
    </w:p>
    <w:p w:rsidR="00A77B3E" w:rsidRDefault="002957DC">
      <w:pPr>
        <w:keepLines/>
        <w:spacing w:before="240"/>
        <w:ind w:firstLine="567"/>
      </w:pPr>
      <w:r>
        <w:t>§ 1. Ustala się na rzecz wnioskodawcy ŻD ŁÓDŹ TARGOWA 55 Sp. z o.o. z siedzibą w Mławie lokalizację inwestycji mieszkaniowej polegającej na budowie budynku mieszkalnego wielorodzinnego z częścią handlowo-usługową wraz z parkingiem podziemnym i naziemnym, niezbędną infrastrukturą, na działkach lub ich częściach o numerach: 21/9, 21/13, 21/14, 45/8 i 21/7 w obrębie W-25 przy ulicy Targowej 55 w Łodzi.</w:t>
      </w:r>
    </w:p>
    <w:p w:rsidR="00A77B3E" w:rsidRDefault="002957DC">
      <w:pPr>
        <w:keepLines/>
        <w:spacing w:before="240"/>
        <w:ind w:firstLine="567"/>
      </w:pPr>
      <w:r>
        <w:t>§ 2. Określa się granice terenu objętego inwestycją mieszkaniową przedstawione na kopii mapy zasadniczej w skali 1:500, oznaczone linią koloru czerwonego i literowo A-B-C-D-E-F-G-H-I-J-K-L-M-N-O-P-R-S-T-U-W-X-A – zgodnie z załącznikiem Nr 1 do uchwały.</w:t>
      </w:r>
    </w:p>
    <w:p w:rsidR="00A77B3E" w:rsidRDefault="002957DC">
      <w:pPr>
        <w:keepLines/>
        <w:spacing w:before="240"/>
        <w:ind w:firstLine="567"/>
        <w:rPr>
          <w:color w:val="000000"/>
          <w:u w:color="000000"/>
        </w:rPr>
      </w:pPr>
      <w:r>
        <w:t>§ 3. Określa się minimalną łączną powierzchnię użytkową mieszkań – 2740 m</w:t>
      </w:r>
      <w:r>
        <w:rPr>
          <w:color w:val="000000"/>
          <w:u w:color="000000"/>
          <w:vertAlign w:val="superscript"/>
        </w:rPr>
        <w:t>2</w:t>
      </w:r>
      <w:r>
        <w:rPr>
          <w:color w:val="000000"/>
          <w:u w:color="000000"/>
        </w:rPr>
        <w:t xml:space="preserve"> i maksymalną łączną powierzchnię użytkową mieszkań – 3145 m</w:t>
      </w:r>
      <w:r>
        <w:rPr>
          <w:color w:val="000000"/>
          <w:u w:color="000000"/>
          <w:vertAlign w:val="superscript"/>
        </w:rPr>
        <w:t>2</w:t>
      </w:r>
      <w:r>
        <w:rPr>
          <w:color w:val="000000"/>
          <w:u w:color="000000"/>
        </w:rPr>
        <w:t>.</w:t>
      </w:r>
    </w:p>
    <w:p w:rsidR="00A77B3E" w:rsidRDefault="002957DC">
      <w:pPr>
        <w:keepLines/>
        <w:spacing w:before="240"/>
        <w:ind w:firstLine="567"/>
        <w:rPr>
          <w:color w:val="000000"/>
          <w:u w:color="000000"/>
        </w:rPr>
      </w:pPr>
      <w:r>
        <w:t>§ 4. </w:t>
      </w:r>
      <w:r>
        <w:rPr>
          <w:color w:val="000000"/>
          <w:u w:color="000000"/>
        </w:rPr>
        <w:t>Określa się minimalną liczbę mieszkań – 50 i maksymalną liczbę mieszkań – 61.</w:t>
      </w:r>
    </w:p>
    <w:p w:rsidR="00A77B3E" w:rsidRDefault="002957DC">
      <w:pPr>
        <w:keepLines/>
        <w:spacing w:before="240"/>
        <w:ind w:firstLine="567"/>
        <w:rPr>
          <w:color w:val="000000"/>
          <w:u w:color="000000"/>
        </w:rPr>
      </w:pPr>
      <w:r>
        <w:t>§ 5. </w:t>
      </w:r>
      <w:r>
        <w:rPr>
          <w:color w:val="000000"/>
          <w:u w:color="000000"/>
        </w:rPr>
        <w:t>W ramach inwestycji mieszkaniowej przewiduje się od 160 m</w:t>
      </w:r>
      <w:r>
        <w:rPr>
          <w:color w:val="000000"/>
          <w:u w:color="000000"/>
          <w:vertAlign w:val="superscript"/>
        </w:rPr>
        <w:t>2</w:t>
      </w:r>
      <w:r>
        <w:rPr>
          <w:color w:val="000000"/>
          <w:u w:color="000000"/>
        </w:rPr>
        <w:t xml:space="preserve"> do 200 m</w:t>
      </w:r>
      <w:r>
        <w:rPr>
          <w:color w:val="000000"/>
          <w:u w:color="000000"/>
          <w:vertAlign w:val="superscript"/>
        </w:rPr>
        <w:t xml:space="preserve">2 </w:t>
      </w:r>
      <w:r>
        <w:rPr>
          <w:color w:val="000000"/>
          <w:u w:color="000000"/>
        </w:rPr>
        <w:t xml:space="preserve">powierzchni użytkowej przeznaczonej na działalność handlową lub usługową, z zastrzeżeniem, że powierzchnia ta będzie większa niż 5% i nie przekroczy 20% powierzchni użytkowej mieszkań. </w:t>
      </w:r>
    </w:p>
    <w:p w:rsidR="00A77B3E" w:rsidRDefault="002957DC">
      <w:pPr>
        <w:keepLines/>
        <w:spacing w:before="240"/>
        <w:ind w:firstLine="567"/>
        <w:rPr>
          <w:color w:val="000000"/>
          <w:u w:color="000000"/>
        </w:rPr>
      </w:pPr>
      <w:r>
        <w:t>§ 6. </w:t>
      </w:r>
      <w:r>
        <w:rPr>
          <w:color w:val="000000"/>
          <w:u w:color="000000"/>
        </w:rPr>
        <w:t>Określa się zmiany w dotychczasowym sposobie zagospodarowania i uzbrojeniu terenu polegające na:</w:t>
      </w:r>
    </w:p>
    <w:p w:rsidR="00A77B3E" w:rsidRDefault="002957DC">
      <w:pPr>
        <w:ind w:left="340" w:hanging="340"/>
        <w:rPr>
          <w:color w:val="000000"/>
          <w:u w:color="000000"/>
        </w:rPr>
      </w:pPr>
      <w:r>
        <w:t>1) </w:t>
      </w:r>
      <w:r>
        <w:rPr>
          <w:color w:val="000000"/>
          <w:u w:color="000000"/>
        </w:rPr>
        <w:t>rozbiórce istniejących na terenie inwestycji budynków i zadaszeń oraz instalacji zewnętrznych w terenie;</w:t>
      </w:r>
    </w:p>
    <w:p w:rsidR="00A77B3E" w:rsidRDefault="002957DC">
      <w:pPr>
        <w:ind w:left="340" w:hanging="340"/>
        <w:rPr>
          <w:color w:val="000000"/>
          <w:u w:color="000000"/>
        </w:rPr>
      </w:pPr>
      <w:r>
        <w:t>2) </w:t>
      </w:r>
      <w:r>
        <w:rPr>
          <w:color w:val="000000"/>
          <w:u w:color="000000"/>
        </w:rPr>
        <w:t>budowie budynku mieszkalnego wielorodzinnego wraz z parkingiem podziemnym i nadziemnym oraz niezbędną infrastrukturą i zagospodarowaniem terenu obejmującym ciągi piesze, ciągi jezdne oraz zieleń.</w:t>
      </w:r>
    </w:p>
    <w:p w:rsidR="00A77B3E" w:rsidRDefault="002957DC">
      <w:pPr>
        <w:keepLines/>
        <w:spacing w:before="240"/>
        <w:ind w:firstLine="567"/>
        <w:rPr>
          <w:color w:val="000000"/>
          <w:u w:color="000000"/>
        </w:rPr>
      </w:pPr>
      <w:r>
        <w:t>§ 7. </w:t>
      </w:r>
      <w:r>
        <w:rPr>
          <w:color w:val="000000"/>
          <w:u w:color="000000"/>
        </w:rPr>
        <w:t>Określa się powiązanie inwestycji mieszkaniowej z istniejącym i planowanym uzbrojeniem terenu:</w:t>
      </w:r>
    </w:p>
    <w:p w:rsidR="00A77B3E" w:rsidRDefault="002957DC">
      <w:pPr>
        <w:ind w:left="340" w:hanging="340"/>
        <w:rPr>
          <w:color w:val="000000"/>
          <w:u w:color="000000"/>
        </w:rPr>
      </w:pPr>
      <w:r>
        <w:t>1) </w:t>
      </w:r>
      <w:r>
        <w:rPr>
          <w:color w:val="000000"/>
          <w:u w:color="000000"/>
        </w:rPr>
        <w:t>woda z wodociągu miejskiego zlokalizowanego w ulicy Targowej, zgodnie z warunkami technicznymi właściwego gestora sieci;</w:t>
      </w:r>
    </w:p>
    <w:p w:rsidR="00A77B3E" w:rsidRDefault="002957DC">
      <w:pPr>
        <w:ind w:left="340" w:hanging="340"/>
        <w:rPr>
          <w:color w:val="000000"/>
          <w:u w:color="000000"/>
        </w:rPr>
      </w:pPr>
      <w:r>
        <w:t>2) </w:t>
      </w:r>
      <w:r>
        <w:rPr>
          <w:color w:val="000000"/>
          <w:u w:color="000000"/>
        </w:rPr>
        <w:t>ścieki do kanału ogólnospławnego zlokalizowanego w ulicy Targowej, zgodnie z warunkami technicznymi właściwego gestora sieci;</w:t>
      </w:r>
    </w:p>
    <w:p w:rsidR="00A77B3E" w:rsidRDefault="002957DC">
      <w:pPr>
        <w:ind w:left="340" w:hanging="340"/>
        <w:rPr>
          <w:color w:val="000000"/>
          <w:u w:color="000000"/>
        </w:rPr>
      </w:pPr>
      <w:r>
        <w:lastRenderedPageBreak/>
        <w:t>3) </w:t>
      </w:r>
      <w:r>
        <w:rPr>
          <w:color w:val="000000"/>
          <w:u w:color="000000"/>
        </w:rPr>
        <w:t>wody opadowe odprowadzane do kanału ogólnospławnego zlokalizowanego w ulicy Targowej, zgodnie z warunkami technicznymi właściwego gestora sieci;</w:t>
      </w:r>
    </w:p>
    <w:p w:rsidR="00A77B3E" w:rsidRDefault="002957DC">
      <w:pPr>
        <w:ind w:left="340" w:hanging="340"/>
        <w:rPr>
          <w:color w:val="000000"/>
          <w:u w:color="000000"/>
        </w:rPr>
      </w:pPr>
      <w:r>
        <w:t>4) </w:t>
      </w:r>
      <w:r>
        <w:rPr>
          <w:color w:val="000000"/>
          <w:u w:color="000000"/>
        </w:rPr>
        <w:t>ciepło z miejskiej sieci ciepła systemowego, zgodnie z warunkami technicznymi właściwego gestora sieci;</w:t>
      </w:r>
    </w:p>
    <w:p w:rsidR="00A77B3E" w:rsidRDefault="002957DC">
      <w:pPr>
        <w:ind w:left="340" w:hanging="340"/>
        <w:rPr>
          <w:color w:val="000000"/>
          <w:u w:color="000000"/>
        </w:rPr>
      </w:pPr>
      <w:r>
        <w:t>5) </w:t>
      </w:r>
      <w:r>
        <w:rPr>
          <w:color w:val="000000"/>
          <w:u w:color="000000"/>
        </w:rPr>
        <w:t>energia elektryczna z sieci, zgodnie z warunkami technicznymi właściwego gestora sieci.</w:t>
      </w:r>
    </w:p>
    <w:p w:rsidR="00A77B3E" w:rsidRDefault="002957DC">
      <w:pPr>
        <w:keepLines/>
        <w:spacing w:before="240"/>
        <w:ind w:firstLine="567"/>
        <w:rPr>
          <w:color w:val="000000"/>
          <w:u w:color="000000"/>
        </w:rPr>
      </w:pPr>
      <w:r>
        <w:t>§ 8. </w:t>
      </w:r>
      <w:r>
        <w:rPr>
          <w:color w:val="000000"/>
          <w:u w:color="000000"/>
        </w:rPr>
        <w:t>Charakterystyka inwestycji mieszkaniowej:</w:t>
      </w:r>
    </w:p>
    <w:p w:rsidR="00A77B3E" w:rsidRDefault="002957DC">
      <w:pPr>
        <w:ind w:left="340" w:hanging="340"/>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2957DC">
      <w:pPr>
        <w:keepLines/>
        <w:spacing w:before="120" w:after="120"/>
        <w:ind w:left="567" w:hanging="227"/>
        <w:rPr>
          <w:color w:val="000000"/>
          <w:u w:color="000000"/>
        </w:rPr>
      </w:pPr>
      <w:r>
        <w:t>a) </w:t>
      </w:r>
      <w:r>
        <w:rPr>
          <w:color w:val="000000"/>
          <w:u w:color="000000"/>
        </w:rPr>
        <w:t>woda z wodociągu miejskiego do celów bytowych – maksymalnie 21 dm</w:t>
      </w:r>
      <w:r>
        <w:rPr>
          <w:color w:val="000000"/>
          <w:u w:color="000000"/>
          <w:vertAlign w:val="superscript"/>
        </w:rPr>
        <w:t>3</w:t>
      </w:r>
      <w:r>
        <w:rPr>
          <w:color w:val="000000"/>
          <w:u w:color="000000"/>
        </w:rPr>
        <w:t>/dobę,</w:t>
      </w:r>
    </w:p>
    <w:p w:rsidR="00A77B3E" w:rsidRDefault="002957DC">
      <w:pPr>
        <w:keepLines/>
        <w:spacing w:before="120" w:after="120"/>
        <w:ind w:left="567" w:hanging="227"/>
        <w:rPr>
          <w:color w:val="000000"/>
          <w:u w:color="000000"/>
        </w:rPr>
      </w:pPr>
      <w:r>
        <w:t>b) </w:t>
      </w:r>
      <w:r>
        <w:rPr>
          <w:color w:val="000000"/>
          <w:u w:color="000000"/>
        </w:rPr>
        <w:t>woda z wodociągu miejskiego do celów wewnętrznej ochrony przeciwpożarowej – maksymalnie 3,0 dm</w:t>
      </w:r>
      <w:r>
        <w:rPr>
          <w:color w:val="000000"/>
          <w:u w:color="000000"/>
          <w:vertAlign w:val="superscript"/>
        </w:rPr>
        <w:t>3</w:t>
      </w:r>
      <w:r>
        <w:rPr>
          <w:color w:val="000000"/>
          <w:u w:color="000000"/>
        </w:rPr>
        <w:t>/s,</w:t>
      </w:r>
    </w:p>
    <w:p w:rsidR="00A77B3E" w:rsidRDefault="002957DC">
      <w:pPr>
        <w:keepLines/>
        <w:spacing w:before="120" w:after="120"/>
        <w:ind w:left="567" w:hanging="227"/>
        <w:rPr>
          <w:color w:val="000000"/>
          <w:u w:color="000000"/>
        </w:rPr>
      </w:pPr>
      <w:r>
        <w:t>c) </w:t>
      </w:r>
      <w:r>
        <w:rPr>
          <w:color w:val="000000"/>
          <w:u w:color="000000"/>
        </w:rPr>
        <w:t>ścieki sanitarne do kanalizacji miejskiej  – w ilości równej ilości pobranej wody,</w:t>
      </w:r>
    </w:p>
    <w:p w:rsidR="00A77B3E" w:rsidRDefault="002957DC">
      <w:pPr>
        <w:keepLines/>
        <w:spacing w:before="120" w:after="120"/>
        <w:ind w:left="567" w:hanging="227"/>
        <w:rPr>
          <w:color w:val="000000"/>
          <w:u w:color="000000"/>
        </w:rPr>
      </w:pPr>
      <w:r>
        <w:t>d) </w:t>
      </w:r>
      <w:r>
        <w:rPr>
          <w:color w:val="000000"/>
          <w:u w:color="000000"/>
        </w:rPr>
        <w:t>energia elektryczna z sieci – maksymalnie 284 kW,</w:t>
      </w:r>
    </w:p>
    <w:p w:rsidR="00A77B3E" w:rsidRDefault="002957DC">
      <w:pPr>
        <w:keepLines/>
        <w:spacing w:before="120" w:after="120"/>
        <w:ind w:left="567" w:hanging="227"/>
        <w:rPr>
          <w:color w:val="000000"/>
          <w:u w:color="000000"/>
        </w:rPr>
      </w:pPr>
      <w:r>
        <w:t>e) </w:t>
      </w:r>
      <w:r>
        <w:rPr>
          <w:color w:val="000000"/>
          <w:u w:color="000000"/>
        </w:rPr>
        <w:t>ciepło z sieci miejskiej – maksymalnie 321 kW,</w:t>
      </w:r>
    </w:p>
    <w:p w:rsidR="00A77B3E" w:rsidRDefault="002957DC">
      <w:pPr>
        <w:keepLines/>
        <w:spacing w:before="120" w:after="120"/>
        <w:ind w:left="567" w:hanging="227"/>
        <w:rPr>
          <w:color w:val="000000"/>
          <w:u w:color="000000"/>
        </w:rPr>
      </w:pPr>
      <w:r>
        <w:t>f) </w:t>
      </w:r>
      <w:r>
        <w:rPr>
          <w:color w:val="000000"/>
          <w:u w:color="000000"/>
        </w:rPr>
        <w:t>wody opadowe w ilości ograniczonej do 4,0 dm</w:t>
      </w:r>
      <w:r>
        <w:rPr>
          <w:color w:val="000000"/>
          <w:u w:color="000000"/>
          <w:vertAlign w:val="superscript"/>
        </w:rPr>
        <w:t>3</w:t>
      </w:r>
      <w:r>
        <w:rPr>
          <w:color w:val="000000"/>
          <w:u w:color="000000"/>
        </w:rPr>
        <w:t>/s odprowadzane do kanału ogólnospławnego w ulicy Targowej, a pozostała ilość wód opadowych retencjonowana na terenie posesji i ewentualnie odprowadzana do kanalizacji miejskiej w dłuższym czasie lub zagospodarowywana na terenie posesji,</w:t>
      </w:r>
    </w:p>
    <w:p w:rsidR="00A77B3E" w:rsidRDefault="002957DC">
      <w:pPr>
        <w:keepLines/>
        <w:spacing w:before="120" w:after="120"/>
        <w:ind w:left="567" w:hanging="227"/>
        <w:rPr>
          <w:color w:val="000000"/>
          <w:u w:color="000000"/>
        </w:rPr>
      </w:pPr>
      <w:r>
        <w:t>g) </w:t>
      </w:r>
      <w:r>
        <w:rPr>
          <w:color w:val="000000"/>
          <w:u w:color="000000"/>
        </w:rPr>
        <w:t>niezbędna liczba miejsc postojowych:</w:t>
      </w:r>
    </w:p>
    <w:p w:rsidR="00A77B3E" w:rsidRDefault="002957DC">
      <w:pPr>
        <w:keepLines/>
        <w:spacing w:before="120" w:after="120"/>
        <w:ind w:left="794" w:hanging="113"/>
        <w:rPr>
          <w:color w:val="000000"/>
          <w:u w:color="000000"/>
        </w:rPr>
      </w:pPr>
      <w:r>
        <w:t>- </w:t>
      </w:r>
      <w:r>
        <w:rPr>
          <w:color w:val="000000"/>
          <w:u w:color="000000"/>
        </w:rPr>
        <w:t>w zakresie obsługi mieszkań – zgodnie z wnioskiem inwestora jest równa liczbie mieszkań przewidzianej do realizacji w ramach inwestycji mieszkaniowej, tj. minimum 50 miejsc postojowych dla minimalnej liczby mieszkań,</w:t>
      </w:r>
    </w:p>
    <w:p w:rsidR="00A77B3E" w:rsidRDefault="002957DC">
      <w:pPr>
        <w:keepLines/>
        <w:spacing w:before="120" w:after="120"/>
        <w:ind w:left="794" w:hanging="113"/>
        <w:rPr>
          <w:color w:val="000000"/>
          <w:u w:color="000000"/>
        </w:rPr>
      </w:pPr>
      <w:r>
        <w:t>- </w:t>
      </w:r>
      <w:r>
        <w:rPr>
          <w:color w:val="000000"/>
          <w:u w:color="000000"/>
        </w:rPr>
        <w:t xml:space="preserve">w zakresie obsługi handlu i usług w wyodrębnionej części inwestycji mieszkaniowej – zgodna z § 3 ust. 1 pkt 2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Nr LXXXVI/2608/24 z dnia 17 stycznia 2024 r. (Dz. Urz. Woj. Łódzkiego poz. 1102) i Nr XXV/705/25 z dnia 17 grudnia 2025 r. (Dz. Urz. Woj. Łódzkiego poz. 11990), tj. minimum </w:t>
      </w:r>
      <w:r w:rsidR="00261CF1">
        <w:rPr>
          <w:color w:val="000000"/>
          <w:u w:color="000000"/>
        </w:rPr>
        <w:t>3 miejsca postojowe dla minimal</w:t>
      </w:r>
      <w:r>
        <w:rPr>
          <w:color w:val="000000"/>
          <w:u w:color="000000"/>
        </w:rPr>
        <w:t>nej powierzchni użytkowej przeznaczonej na działalność handlową lub usługową,</w:t>
      </w:r>
    </w:p>
    <w:p w:rsidR="00A77B3E" w:rsidRDefault="002957DC">
      <w:pPr>
        <w:keepLines/>
        <w:spacing w:before="120" w:after="120"/>
        <w:ind w:left="567" w:hanging="227"/>
        <w:rPr>
          <w:color w:val="000000"/>
          <w:u w:color="000000"/>
        </w:rPr>
      </w:pPr>
      <w:r>
        <w:t>h) </w:t>
      </w:r>
      <w:r>
        <w:rPr>
          <w:color w:val="000000"/>
          <w:u w:color="000000"/>
        </w:rPr>
        <w:t>odpady komunalne będą segregowane i wywożone zgodnie z Regulaminem utrzymania czystości i porządku na terenie Miasta Łodzi;</w:t>
      </w:r>
    </w:p>
    <w:p w:rsidR="00A77B3E" w:rsidRDefault="002957DC">
      <w:pPr>
        <w:ind w:left="340" w:hanging="340"/>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2957DC">
      <w:pPr>
        <w:keepLines/>
        <w:spacing w:before="120" w:after="120"/>
        <w:ind w:left="567" w:hanging="227"/>
        <w:rPr>
          <w:color w:val="000000"/>
          <w:u w:color="000000"/>
        </w:rPr>
      </w:pPr>
      <w:r>
        <w:t>a) </w:t>
      </w:r>
      <w:r>
        <w:rPr>
          <w:color w:val="000000"/>
          <w:u w:color="000000"/>
        </w:rPr>
        <w:t>sposób zagospodarowania terenu:</w:t>
      </w:r>
    </w:p>
    <w:p w:rsidR="00A77B3E" w:rsidRDefault="002957DC">
      <w:pPr>
        <w:keepLines/>
        <w:spacing w:before="120" w:after="120"/>
        <w:ind w:left="794" w:hanging="113"/>
        <w:rPr>
          <w:color w:val="000000"/>
          <w:u w:color="000000"/>
        </w:rPr>
      </w:pPr>
      <w:r>
        <w:t>- </w:t>
      </w:r>
      <w:r>
        <w:rPr>
          <w:color w:val="000000"/>
          <w:u w:color="000000"/>
        </w:rPr>
        <w:t>inwestycja obejmuje budowę budynku mieszkalnego wielorodzinnego wraz z parkingiem podziemnym i nadziemnym, usytuowanego w pierzei ulicy Targowej,</w:t>
      </w:r>
    </w:p>
    <w:p w:rsidR="00A77B3E" w:rsidRDefault="002957DC">
      <w:pPr>
        <w:keepLines/>
        <w:spacing w:before="120" w:after="120"/>
        <w:ind w:left="794" w:hanging="113"/>
        <w:rPr>
          <w:color w:val="000000"/>
          <w:u w:color="000000"/>
        </w:rPr>
      </w:pPr>
      <w:r>
        <w:t>- </w:t>
      </w:r>
      <w:r>
        <w:rPr>
          <w:color w:val="000000"/>
          <w:u w:color="000000"/>
        </w:rPr>
        <w:t>zagospodarowanie terenu inwestycji obejmuje m.in.: ciągi piesze, ciągi jezdne, zieleń i uzbrojenie terenu,</w:t>
      </w:r>
    </w:p>
    <w:p w:rsidR="00A77B3E" w:rsidRDefault="002957DC">
      <w:pPr>
        <w:keepLines/>
        <w:spacing w:before="120" w:after="120"/>
        <w:ind w:left="794" w:hanging="113"/>
        <w:rPr>
          <w:color w:val="000000"/>
          <w:u w:color="000000"/>
        </w:rPr>
      </w:pPr>
      <w:r>
        <w:t>- </w:t>
      </w:r>
      <w:r>
        <w:rPr>
          <w:color w:val="000000"/>
          <w:u w:color="000000"/>
        </w:rPr>
        <w:t>dostęp do drogi publicznej – ulicy Targowej przez projektowany zjazd na dz. nr 21/9 w obrębie W-25 oraz poprzez istniejący, przeznaczony do przebudowy zjazd, na działkę nr 21/7 w obrębie W-25 wg odrębnego opracowania,</w:t>
      </w:r>
    </w:p>
    <w:p w:rsidR="00A77B3E" w:rsidRDefault="002957DC">
      <w:pPr>
        <w:keepLines/>
        <w:spacing w:before="120" w:after="120"/>
        <w:ind w:left="794" w:hanging="113"/>
        <w:rPr>
          <w:color w:val="000000"/>
          <w:u w:color="000000"/>
        </w:rPr>
      </w:pPr>
      <w:r>
        <w:t>- </w:t>
      </w:r>
      <w:r>
        <w:rPr>
          <w:color w:val="000000"/>
          <w:u w:color="000000"/>
        </w:rPr>
        <w:t>planowany sposób zagospodarowania terenu określa załącznik Nr 2 do uchwały,</w:t>
      </w:r>
    </w:p>
    <w:p w:rsidR="00A77B3E" w:rsidRDefault="002957DC">
      <w:pPr>
        <w:keepLines/>
        <w:spacing w:before="120" w:after="120"/>
        <w:ind w:left="567" w:hanging="227"/>
        <w:rPr>
          <w:color w:val="000000"/>
          <w:u w:color="000000"/>
        </w:rPr>
      </w:pPr>
      <w:r>
        <w:t>b) </w:t>
      </w:r>
      <w:r>
        <w:rPr>
          <w:color w:val="000000"/>
          <w:u w:color="000000"/>
        </w:rPr>
        <w:t>charakterystyka i przeznaczenie zabudowy: zabudowa mieszkaniowa wielorodzinna z garażem;</w:t>
      </w:r>
    </w:p>
    <w:p w:rsidR="00A77B3E" w:rsidRDefault="002957DC">
      <w:pPr>
        <w:ind w:left="340" w:hanging="340"/>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 oraz z 2025 r. poz. 1535):</w:t>
      </w:r>
    </w:p>
    <w:p w:rsidR="00A77B3E" w:rsidRDefault="002957DC">
      <w:pPr>
        <w:keepLines/>
        <w:spacing w:before="120" w:after="120"/>
        <w:ind w:left="567" w:hanging="227"/>
        <w:rPr>
          <w:color w:val="000000"/>
          <w:u w:color="000000"/>
        </w:rPr>
      </w:pPr>
      <w:r>
        <w:t>a) </w:t>
      </w:r>
      <w:r>
        <w:rPr>
          <w:color w:val="000000"/>
          <w:u w:color="000000"/>
        </w:rPr>
        <w:t>charakterystyczne parametry techniczne:</w:t>
      </w:r>
    </w:p>
    <w:p w:rsidR="00A77B3E" w:rsidRDefault="002957DC">
      <w:pPr>
        <w:keepLines/>
        <w:spacing w:before="120" w:after="120"/>
        <w:ind w:left="794" w:hanging="113"/>
        <w:rPr>
          <w:color w:val="000000"/>
          <w:u w:color="000000"/>
        </w:rPr>
      </w:pPr>
      <w:r>
        <w:t>- </w:t>
      </w:r>
      <w:r>
        <w:rPr>
          <w:color w:val="000000"/>
          <w:u w:color="000000"/>
        </w:rPr>
        <w:t>powierzchnia zabudowy (nadziemnej)  – minimalnie 1100 m</w:t>
      </w:r>
      <w:r>
        <w:rPr>
          <w:color w:val="000000"/>
          <w:u w:color="000000"/>
          <w:vertAlign w:val="superscript"/>
        </w:rPr>
        <w:t>2</w:t>
      </w:r>
      <w:r>
        <w:rPr>
          <w:color w:val="000000"/>
          <w:u w:color="000000"/>
        </w:rPr>
        <w:t>, maksymalnie 1200 m</w:t>
      </w:r>
      <w:r>
        <w:rPr>
          <w:color w:val="000000"/>
          <w:u w:color="000000"/>
          <w:vertAlign w:val="superscript"/>
        </w:rPr>
        <w:t>2</w:t>
      </w:r>
      <w:r>
        <w:rPr>
          <w:color w:val="000000"/>
          <w:u w:color="000000"/>
        </w:rPr>
        <w:t>,</w:t>
      </w:r>
    </w:p>
    <w:p w:rsidR="00A77B3E" w:rsidRDefault="002957DC">
      <w:pPr>
        <w:keepLines/>
        <w:spacing w:before="120" w:after="120"/>
        <w:ind w:left="794" w:hanging="113"/>
        <w:rPr>
          <w:color w:val="000000"/>
          <w:u w:color="000000"/>
        </w:rPr>
      </w:pPr>
      <w:r>
        <w:t>- </w:t>
      </w:r>
      <w:r>
        <w:rPr>
          <w:color w:val="000000"/>
          <w:u w:color="000000"/>
        </w:rPr>
        <w:t>powierzchnia biologicznie czynna – minimum 12,5% terenu działek nr ewid. 21/9, 21/14 i 21/13 w obrębie W-25, w tym na stropodachach budynku,</w:t>
      </w:r>
    </w:p>
    <w:p w:rsidR="00A77B3E" w:rsidRDefault="002957DC">
      <w:pPr>
        <w:keepLines/>
        <w:spacing w:before="120" w:after="120"/>
        <w:ind w:left="794" w:hanging="113"/>
        <w:rPr>
          <w:color w:val="000000"/>
          <w:u w:color="000000"/>
        </w:rPr>
      </w:pPr>
      <w:r>
        <w:t>- </w:t>
      </w:r>
      <w:r>
        <w:rPr>
          <w:color w:val="000000"/>
          <w:u w:color="000000"/>
        </w:rPr>
        <w:t>wysokość zabudowy – do 25 m,</w:t>
      </w:r>
    </w:p>
    <w:p w:rsidR="00A77B3E" w:rsidRDefault="002957DC">
      <w:pPr>
        <w:keepLines/>
        <w:spacing w:before="120" w:after="120"/>
        <w:ind w:left="794" w:hanging="113"/>
        <w:rPr>
          <w:color w:val="000000"/>
          <w:u w:color="000000"/>
        </w:rPr>
      </w:pPr>
      <w:r>
        <w:t>- </w:t>
      </w:r>
      <w:r>
        <w:rPr>
          <w:color w:val="000000"/>
          <w:u w:color="000000"/>
        </w:rPr>
        <w:t>ilość kondygnacji nadziemnych – od I do VII zgodnie z oznaczeniem na załączniku Nr 2 do uchwały,</w:t>
      </w:r>
    </w:p>
    <w:p w:rsidR="00A77B3E" w:rsidRDefault="002957DC">
      <w:pPr>
        <w:keepLines/>
        <w:spacing w:before="120" w:after="120"/>
        <w:ind w:left="794" w:hanging="113"/>
        <w:rPr>
          <w:color w:val="000000"/>
          <w:u w:color="000000"/>
        </w:rPr>
      </w:pPr>
      <w:r>
        <w:t>- </w:t>
      </w:r>
      <w:r>
        <w:rPr>
          <w:color w:val="000000"/>
          <w:u w:color="000000"/>
        </w:rPr>
        <w:t>ilość kondygnacji podziemnych  – maksymalnie I,</w:t>
      </w:r>
    </w:p>
    <w:p w:rsidR="00A77B3E" w:rsidRDefault="002957DC">
      <w:pPr>
        <w:keepLines/>
        <w:spacing w:before="120" w:after="120"/>
        <w:ind w:left="794" w:hanging="113"/>
        <w:rPr>
          <w:color w:val="000000"/>
          <w:u w:color="000000"/>
        </w:rPr>
      </w:pPr>
      <w:r>
        <w:t>- </w:t>
      </w:r>
      <w:r>
        <w:rPr>
          <w:color w:val="000000"/>
          <w:u w:color="000000"/>
        </w:rPr>
        <w:t>kształt dachu i kąt nachylenia połaci dachowych – dach płaski o kącie nachylenia maksimum 5°,</w:t>
      </w:r>
    </w:p>
    <w:p w:rsidR="00A77B3E" w:rsidRDefault="002957DC">
      <w:pPr>
        <w:keepLines/>
        <w:spacing w:before="120" w:after="120"/>
        <w:ind w:left="567" w:hanging="227"/>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tiret drugie rozporządzenia, jak również powierzchnia użytkowa projektowanego garażu nie przekroczy 1 ha, o którym mowa w § 3 ust. 1 pkt 58 lit. b rozporządzenia.</w:t>
      </w:r>
    </w:p>
    <w:p w:rsidR="00A77B3E" w:rsidRDefault="002957DC">
      <w:pPr>
        <w:keepLines/>
        <w:spacing w:before="240"/>
        <w:ind w:firstLine="567"/>
        <w:rPr>
          <w:color w:val="000000"/>
          <w:u w:color="000000"/>
        </w:rPr>
      </w:pPr>
      <w:r>
        <w:t>§ 9. </w:t>
      </w:r>
      <w:r>
        <w:rPr>
          <w:color w:val="000000"/>
          <w:u w:color="000000"/>
        </w:rPr>
        <w:t>Obiekty objęte inwestycją mieszkaniową będą zlokalizowane na następujących nieruchomościach lub ich częściach, wskazanych według katastru nieruchomości oraz księgi wieczystej:</w:t>
      </w:r>
    </w:p>
    <w:p w:rsidR="00A77B3E" w:rsidRDefault="002957DC">
      <w:pPr>
        <w:ind w:left="340" w:hanging="340"/>
        <w:rPr>
          <w:color w:val="000000"/>
          <w:u w:color="000000"/>
        </w:rPr>
      </w:pPr>
      <w:r>
        <w:t>1) </w:t>
      </w:r>
      <w:r>
        <w:rPr>
          <w:color w:val="000000"/>
          <w:u w:color="000000"/>
        </w:rPr>
        <w:t>działce nr 21/9, obręb W-25 – KW LD1M/00152842/8;</w:t>
      </w:r>
    </w:p>
    <w:p w:rsidR="00A77B3E" w:rsidRDefault="002957DC">
      <w:pPr>
        <w:ind w:left="340" w:hanging="340"/>
        <w:rPr>
          <w:color w:val="000000"/>
          <w:u w:color="000000"/>
        </w:rPr>
      </w:pPr>
      <w:r>
        <w:t>2) </w:t>
      </w:r>
      <w:r>
        <w:rPr>
          <w:color w:val="000000"/>
          <w:u w:color="000000"/>
        </w:rPr>
        <w:t>działkach nr 21/13 i 21/14, obręb W-25 – KW LD1M/00142687/0;</w:t>
      </w:r>
    </w:p>
    <w:p w:rsidR="00A77B3E" w:rsidRDefault="002957DC">
      <w:pPr>
        <w:ind w:left="340" w:hanging="340"/>
        <w:rPr>
          <w:color w:val="000000"/>
          <w:u w:color="000000"/>
        </w:rPr>
      </w:pPr>
      <w:r>
        <w:t>3) </w:t>
      </w:r>
      <w:r>
        <w:rPr>
          <w:color w:val="000000"/>
          <w:u w:color="000000"/>
        </w:rPr>
        <w:t>części działki 21/7, obręb W-25 – KW LD1M/00142688/7;</w:t>
      </w:r>
    </w:p>
    <w:p w:rsidR="00A77B3E" w:rsidRDefault="002957DC">
      <w:pPr>
        <w:ind w:left="340" w:hanging="340"/>
        <w:rPr>
          <w:color w:val="000000"/>
          <w:u w:color="000000"/>
        </w:rPr>
      </w:pPr>
      <w:r>
        <w:t>4) </w:t>
      </w:r>
      <w:r>
        <w:rPr>
          <w:color w:val="000000"/>
          <w:u w:color="000000"/>
        </w:rPr>
        <w:t>części działki 45/8, obręb W-25 – KW LD1M/00232506/6.</w:t>
      </w:r>
    </w:p>
    <w:p w:rsidR="00A77B3E" w:rsidRDefault="002957DC">
      <w:pPr>
        <w:keepLines/>
        <w:spacing w:before="240"/>
        <w:ind w:firstLine="567"/>
        <w:rPr>
          <w:color w:val="000000"/>
          <w:u w:color="000000"/>
        </w:rPr>
      </w:pPr>
      <w:r>
        <w:t>§ 10. </w:t>
      </w:r>
      <w:r>
        <w:rPr>
          <w:color w:val="000000"/>
          <w:u w:color="000000"/>
        </w:rPr>
        <w:t>Nie wskazuje się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2957DC">
      <w:pPr>
        <w:keepLines/>
        <w:spacing w:before="240"/>
        <w:ind w:firstLine="567"/>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rsidR="00A77B3E" w:rsidRDefault="002957DC">
      <w:pPr>
        <w:keepLines/>
        <w:spacing w:before="240"/>
        <w:ind w:firstLine="567"/>
        <w:rPr>
          <w:color w:val="000000"/>
          <w:u w:color="000000"/>
        </w:rPr>
      </w:pPr>
      <w:r>
        <w:t>§ 12. </w:t>
      </w:r>
      <w:r>
        <w:rPr>
          <w:color w:val="000000"/>
          <w:u w:color="000000"/>
        </w:rPr>
        <w:t>Określa się warunki wynikające z potrzeb ochrony środowiska i ochrony zabytków:</w:t>
      </w:r>
    </w:p>
    <w:p w:rsidR="00A77B3E" w:rsidRDefault="002957DC">
      <w:pPr>
        <w:ind w:left="340" w:hanging="340"/>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 1080, 1812 i 1863);</w:t>
      </w:r>
    </w:p>
    <w:p w:rsidR="00A77B3E" w:rsidRDefault="002957DC">
      <w:pPr>
        <w:ind w:left="340" w:hanging="340"/>
        <w:rPr>
          <w:color w:val="000000"/>
          <w:u w:color="000000"/>
        </w:rPr>
      </w:pPr>
      <w:r>
        <w:t>2) </w:t>
      </w:r>
      <w:r>
        <w:rPr>
          <w:color w:val="000000"/>
          <w:u w:color="000000"/>
        </w:rPr>
        <w:t>inwestycja znajduje się na terenie historycznego układu urbanistycznego oraz krajobrazu kulturowego „Nowa Dzielnica” 1843 roku, wpisanego do gminnej ewidencji zabytków i jej realizacja powinna być zgodna z wymogami ustawy z dnia 23 lipca 2003 r. o ochronie zabytków i opiece nad zabytkami (Dz. U. z 2024 r. poz. 1292 i 1907 oraz z 2025 r. poz. 1168 i 1673).</w:t>
      </w:r>
    </w:p>
    <w:p w:rsidR="00A77B3E" w:rsidRDefault="002957DC">
      <w:pPr>
        <w:keepLines/>
        <w:spacing w:before="240"/>
        <w:ind w:firstLine="567"/>
        <w:rPr>
          <w:color w:val="000000"/>
          <w:u w:color="000000"/>
        </w:rPr>
      </w:pPr>
      <w:r>
        <w:t>§ 13. </w:t>
      </w:r>
      <w:r>
        <w:rPr>
          <w:color w:val="000000"/>
          <w:u w:color="000000"/>
        </w:rPr>
        <w:t>Niniejsza uchwała nie rodzi praw do terenu oraz nie narusza prawa własności i uprawnień osób trzecich.</w:t>
      </w:r>
    </w:p>
    <w:p w:rsidR="00A77B3E" w:rsidRDefault="002957DC">
      <w:pPr>
        <w:keepLines/>
        <w:spacing w:before="240"/>
        <w:ind w:firstLine="567"/>
        <w:rPr>
          <w:color w:val="000000"/>
          <w:u w:color="000000"/>
        </w:rPr>
      </w:pPr>
      <w:r>
        <w:t>§ 14. </w:t>
      </w:r>
      <w:r>
        <w:rPr>
          <w:color w:val="000000"/>
          <w:u w:color="000000"/>
        </w:rPr>
        <w:t>Wykonanie uchwały powierza się Prezydentowi Miasta Łodzi.</w:t>
      </w:r>
    </w:p>
    <w:p w:rsidR="00A77B3E" w:rsidRDefault="002957DC">
      <w:pPr>
        <w:keepLines/>
        <w:spacing w:before="240"/>
        <w:ind w:firstLine="567"/>
        <w:rPr>
          <w:color w:val="000000"/>
          <w:u w:color="000000"/>
        </w:rPr>
      </w:pPr>
      <w:r>
        <w:t>§ 15. </w:t>
      </w:r>
      <w:r>
        <w:rPr>
          <w:color w:val="000000"/>
          <w:u w:color="000000"/>
        </w:rPr>
        <w:t>Uchwała podlega publikacji w Dzienniku Urzędowym Województwa Łódzkiego.</w:t>
      </w:r>
    </w:p>
    <w:p w:rsidR="00A77B3E" w:rsidRDefault="002957DC">
      <w:pPr>
        <w:keepNext/>
        <w:keepLines/>
        <w:spacing w:before="240"/>
        <w:ind w:firstLine="567"/>
        <w:rPr>
          <w:color w:val="000000"/>
          <w:u w:color="000000"/>
        </w:rPr>
      </w:pPr>
      <w:r>
        <w:t>§ 16. </w:t>
      </w:r>
      <w:r>
        <w:rPr>
          <w:color w:val="000000"/>
          <w:u w:color="000000"/>
        </w:rPr>
        <w:t>Uchwała wchodzi w życie z dniem podjęcia.</w:t>
      </w:r>
    </w:p>
    <w:p w:rsidR="00A77B3E" w:rsidRDefault="00A77B3E">
      <w:pPr>
        <w:keepNext/>
        <w:keepLines/>
        <w:spacing w:before="240"/>
        <w:ind w:firstLine="567"/>
        <w:rPr>
          <w:color w:val="000000"/>
          <w:u w:color="000000"/>
        </w:rPr>
      </w:pPr>
    </w:p>
    <w:p w:rsidR="00A77B3E" w:rsidRDefault="002957DC">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305"/>
        <w:gridCol w:w="4767"/>
      </w:tblGrid>
      <w:tr w:rsidR="002602E5">
        <w:tc>
          <w:tcPr>
            <w:tcW w:w="2500" w:type="pct"/>
            <w:tcMar>
              <w:top w:w="0" w:type="dxa"/>
              <w:left w:w="0" w:type="dxa"/>
              <w:bottom w:w="0" w:type="dxa"/>
              <w:right w:w="0" w:type="dxa"/>
            </w:tcMar>
            <w:hideMark/>
          </w:tcPr>
          <w:p w:rsidR="002602E5" w:rsidRDefault="002602E5">
            <w:pPr>
              <w:keepNext/>
              <w:keepLines/>
              <w:jc w:val="left"/>
              <w:rPr>
                <w:color w:val="000000"/>
              </w:rPr>
            </w:pPr>
          </w:p>
        </w:tc>
        <w:tc>
          <w:tcPr>
            <w:tcW w:w="2500" w:type="pct"/>
            <w:tcMar>
              <w:top w:w="0" w:type="dxa"/>
              <w:left w:w="0" w:type="dxa"/>
              <w:bottom w:w="0" w:type="dxa"/>
              <w:right w:w="0" w:type="dxa"/>
            </w:tcMar>
            <w:hideMark/>
          </w:tcPr>
          <w:p w:rsidR="002602E5" w:rsidRDefault="002957DC">
            <w:pPr>
              <w:keepNext/>
              <w:keepLines/>
              <w:spacing w:before="100" w:after="100"/>
              <w:ind w:left="1020" w:right="102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2957DC">
      <w:pPr>
        <w:keepLines/>
        <w:rPr>
          <w:color w:val="000000"/>
          <w:u w:color="000000"/>
        </w:rPr>
      </w:pPr>
      <w:r>
        <w:rPr>
          <w:color w:val="000000"/>
          <w:u w:color="000000"/>
        </w:rPr>
        <w:t>Projektodawcą jest</w:t>
      </w:r>
    </w:p>
    <w:p w:rsidR="00A77B3E" w:rsidRDefault="002957DC" w:rsidP="00261CF1">
      <w:pPr>
        <w:keepLines/>
        <w:jc w:val="left"/>
        <w:rPr>
          <w:color w:val="000000"/>
          <w:u w:color="000000"/>
        </w:rPr>
        <w:sectPr w:rsidR="00A77B3E">
          <w:footerReference w:type="default" r:id="rId6"/>
          <w:endnotePr>
            <w:numFmt w:val="decimal"/>
          </w:endnotePr>
          <w:pgSz w:w="11906" w:h="16838"/>
          <w:pgMar w:top="850" w:right="1417" w:bottom="850" w:left="1417" w:header="708" w:footer="708" w:gutter="0"/>
          <w:cols w:space="708"/>
          <w:docGrid w:linePitch="360"/>
        </w:sectPr>
      </w:pPr>
      <w:r>
        <w:rPr>
          <w:color w:val="000000"/>
          <w:u w:color="000000"/>
        </w:rPr>
        <w:t>Prezydent Miasta Łodzi</w:t>
      </w:r>
    </w:p>
    <w:p w:rsidR="00A77B3E" w:rsidRDefault="002957DC">
      <w:pPr>
        <w:keepNext/>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2957DC">
      <w:pPr>
        <w:keepNext/>
        <w:spacing w:after="240"/>
        <w:jc w:val="center"/>
        <w:rPr>
          <w:color w:val="000000"/>
          <w:u w:color="000000"/>
        </w:rPr>
      </w:pPr>
      <w:r>
        <w:rPr>
          <w:b/>
          <w:color w:val="000000"/>
          <w:u w:color="000000"/>
        </w:rPr>
        <w:t>Granice terenu objętego inwestycją mieszkaniową.</w:t>
      </w:r>
    </w:p>
    <w:p w:rsidR="00A77B3E" w:rsidRDefault="002957DC">
      <w:pPr>
        <w:keepLines/>
        <w:jc w:val="center"/>
        <w:rPr>
          <w:color w:val="000000"/>
          <w:u w:color="000000"/>
        </w:rPr>
      </w:pPr>
      <w:r>
        <w:rPr>
          <w:noProof/>
          <w:color w:val="000000"/>
          <w:u w:color="000000"/>
          <w:lang w:bidi="ar-SA"/>
        </w:rPr>
        <w:drawing>
          <wp:inline distT="0" distB="0" distL="0" distR="0">
            <wp:extent cx="5756744" cy="4063024"/>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56744" cy="4063024"/>
                    </a:xfrm>
                    <a:prstGeom prst="rect">
                      <a:avLst/>
                    </a:prstGeom>
                  </pic:spPr>
                </pic:pic>
              </a:graphicData>
            </a:graphic>
          </wp:inline>
        </w:drawing>
      </w:r>
    </w:p>
    <w:p w:rsidR="00A77B3E" w:rsidRDefault="002957DC">
      <w:pPr>
        <w:keepLines/>
        <w:jc w:val="center"/>
        <w:rPr>
          <w:color w:val="000000"/>
          <w:u w:color="000000"/>
        </w:rPr>
      </w:pPr>
      <w:r>
        <w:rPr>
          <w:noProof/>
          <w:color w:val="000000"/>
          <w:u w:color="000000"/>
          <w:lang w:bidi="ar-SA"/>
        </w:rPr>
        <w:drawing>
          <wp:inline distT="0" distB="0" distL="0" distR="0">
            <wp:extent cx="5763509" cy="8145124"/>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3509" cy="8145124"/>
                    </a:xfrm>
                    <a:prstGeom prst="rect">
                      <a:avLst/>
                    </a:prstGeom>
                  </pic:spPr>
                </pic:pic>
              </a:graphicData>
            </a:graphic>
          </wp:inline>
        </w:drawing>
      </w:r>
    </w:p>
    <w:p w:rsidR="00A77B3E" w:rsidRDefault="002957DC">
      <w:pPr>
        <w:keepLines/>
        <w:jc w:val="center"/>
        <w:rPr>
          <w:color w:val="000000"/>
          <w:u w:color="000000"/>
        </w:rPr>
      </w:pPr>
      <w:r>
        <w:rPr>
          <w:noProof/>
          <w:color w:val="000000"/>
          <w:u w:color="000000"/>
          <w:lang w:bidi="ar-SA"/>
        </w:rPr>
        <w:drawing>
          <wp:inline distT="0" distB="0" distL="0" distR="0">
            <wp:extent cx="5763509" cy="8145124"/>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3509" cy="8145124"/>
                    </a:xfrm>
                    <a:prstGeom prst="rect">
                      <a:avLst/>
                    </a:prstGeom>
                  </pic:spPr>
                </pic:pic>
              </a:graphicData>
            </a:graphic>
          </wp:inline>
        </w:drawing>
      </w:r>
    </w:p>
    <w:p w:rsidR="00A77B3E" w:rsidRDefault="00A77B3E">
      <w:pPr>
        <w:keepLines/>
        <w:jc w:val="center"/>
        <w:rPr>
          <w:color w:val="000000"/>
          <w:u w:color="000000"/>
        </w:rPr>
        <w:sectPr w:rsidR="00A77B3E">
          <w:footerReference w:type="default" r:id="rId13"/>
          <w:endnotePr>
            <w:numFmt w:val="decimal"/>
          </w:endnotePr>
          <w:pgSz w:w="11906" w:h="16838"/>
          <w:pgMar w:top="850" w:right="1417" w:bottom="850" w:left="1417" w:header="708" w:footer="708" w:gutter="0"/>
          <w:pgNumType w:start="1"/>
          <w:cols w:space="708"/>
          <w:docGrid w:linePitch="360"/>
        </w:sectPr>
      </w:pPr>
    </w:p>
    <w:p w:rsidR="00A77B3E" w:rsidRDefault="002957DC">
      <w:pPr>
        <w:keepNext/>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2957DC">
      <w:pPr>
        <w:keepNext/>
        <w:spacing w:after="240"/>
        <w:jc w:val="center"/>
        <w:rPr>
          <w:color w:val="000000"/>
          <w:u w:color="000000"/>
        </w:rPr>
      </w:pPr>
      <w:r>
        <w:rPr>
          <w:b/>
          <w:color w:val="000000"/>
          <w:u w:color="000000"/>
        </w:rPr>
        <w:t>Planowany sposób zagospodarowania terenu.</w:t>
      </w:r>
    </w:p>
    <w:p w:rsidR="00A77B3E" w:rsidRDefault="002957DC">
      <w:pPr>
        <w:keepLines/>
        <w:jc w:val="center"/>
        <w:rPr>
          <w:color w:val="000000"/>
          <w:u w:color="000000"/>
        </w:rPr>
      </w:pPr>
      <w:r>
        <w:rPr>
          <w:noProof/>
          <w:color w:val="000000"/>
          <w:u w:color="000000"/>
          <w:lang w:bidi="ar-SA"/>
        </w:rPr>
        <w:drawing>
          <wp:inline distT="0" distB="0" distL="0" distR="0">
            <wp:extent cx="5756744" cy="4063024"/>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56744" cy="4063024"/>
                    </a:xfrm>
                    <a:prstGeom prst="rect">
                      <a:avLst/>
                    </a:prstGeom>
                  </pic:spPr>
                </pic:pic>
              </a:graphicData>
            </a:graphic>
          </wp:inline>
        </w:drawing>
      </w:r>
    </w:p>
    <w:p w:rsidR="00A77B3E" w:rsidRDefault="002957DC">
      <w:pPr>
        <w:keepLines/>
        <w:jc w:val="center"/>
        <w:rPr>
          <w:color w:val="000000"/>
          <w:u w:color="000000"/>
        </w:rPr>
      </w:pPr>
      <w:r>
        <w:rPr>
          <w:noProof/>
          <w:color w:val="000000"/>
          <w:u w:color="000000"/>
          <w:lang w:bidi="ar-SA"/>
        </w:rPr>
        <w:drawing>
          <wp:inline distT="0" distB="0" distL="0" distR="0">
            <wp:extent cx="5763509" cy="8145124"/>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3509" cy="8145124"/>
                    </a:xfrm>
                    <a:prstGeom prst="rect">
                      <a:avLst/>
                    </a:prstGeom>
                  </pic:spPr>
                </pic:pic>
              </a:graphicData>
            </a:graphic>
          </wp:inline>
        </w:drawing>
      </w:r>
    </w:p>
    <w:p w:rsidR="00A77B3E" w:rsidRDefault="002957DC">
      <w:pPr>
        <w:keepLines/>
        <w:jc w:val="center"/>
        <w:rPr>
          <w:color w:val="000000"/>
          <w:u w:color="000000"/>
        </w:rPr>
      </w:pPr>
      <w:r>
        <w:rPr>
          <w:noProof/>
          <w:color w:val="000000"/>
          <w:u w:color="000000"/>
          <w:lang w:bidi="ar-SA"/>
        </w:rPr>
        <w:drawing>
          <wp:inline distT="0" distB="0" distL="0" distR="0">
            <wp:extent cx="5763509" cy="8145124"/>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3509" cy="8145124"/>
                    </a:xfrm>
                    <a:prstGeom prst="rect">
                      <a:avLst/>
                    </a:prstGeom>
                  </pic:spPr>
                </pic:pic>
              </a:graphicData>
            </a:graphic>
          </wp:inline>
        </w:drawing>
      </w:r>
    </w:p>
    <w:p w:rsidR="00A77B3E" w:rsidRDefault="00A77B3E">
      <w:pPr>
        <w:keepLines/>
        <w:jc w:val="center"/>
        <w:rPr>
          <w:color w:val="000000"/>
          <w:u w:color="000000"/>
        </w:rPr>
        <w:sectPr w:rsidR="00A77B3E">
          <w:footerReference w:type="default" r:id="rId20"/>
          <w:endnotePr>
            <w:numFmt w:val="decimal"/>
          </w:endnotePr>
          <w:pgSz w:w="11906" w:h="16838"/>
          <w:pgMar w:top="850" w:right="1417" w:bottom="850" w:left="1417" w:header="708" w:footer="708" w:gutter="0"/>
          <w:pgNumType w:start="1"/>
          <w:cols w:space="708"/>
          <w:docGrid w:linePitch="360"/>
        </w:sectPr>
      </w:pPr>
    </w:p>
    <w:p w:rsidR="002602E5" w:rsidRDefault="002957DC">
      <w:pPr>
        <w:jc w:val="center"/>
        <w:rPr>
          <w:color w:val="000000"/>
          <w:szCs w:val="20"/>
          <w:shd w:val="clear" w:color="auto" w:fill="FFFFFF"/>
          <w:lang w:val="x-none" w:eastAsia="en-US" w:bidi="ar-SA"/>
        </w:rPr>
      </w:pPr>
      <w:r>
        <w:rPr>
          <w:b/>
          <w:color w:val="000000"/>
          <w:szCs w:val="20"/>
          <w:shd w:val="clear" w:color="auto" w:fill="FFFFFF"/>
          <w:lang w:val="x-none" w:eastAsia="en-US" w:bidi="ar-SA"/>
        </w:rPr>
        <w:t>Uzasadnienie</w:t>
      </w:r>
    </w:p>
    <w:p w:rsidR="002602E5" w:rsidRDefault="002957DC">
      <w:pPr>
        <w:keepLines/>
        <w:spacing w:before="120" w:after="120"/>
        <w:ind w:firstLine="435"/>
        <w:rPr>
          <w:color w:val="000000"/>
          <w:szCs w:val="20"/>
          <w:shd w:val="clear" w:color="auto" w:fill="FFFFFF"/>
          <w:lang w:val="x-none" w:eastAsia="en-US" w:bidi="ar-SA"/>
        </w:rPr>
      </w:pPr>
      <w:r>
        <w:rPr>
          <w:color w:val="000000"/>
          <w:szCs w:val="20"/>
          <w:shd w:val="clear" w:color="auto" w:fill="FFFFFF"/>
          <w:lang w:val="x-none" w:eastAsia="en-US" w:bidi="ar-SA"/>
        </w:rPr>
        <w:t>Inwestor ŻD ŁÓDŹ TARGOWA 55 Sp. z o.o. z siedzibą w Łodzi pismem z dnia 21 października 2025 r.  wystąpił do Rady Miejskiej w Łodzi, za pośrednictwem Prezydenta Miasta Łodzi - Biura Architekta Miasta w Departamencie Planowania i Rozwoju Gospodarczego Urzędu Miasta Łodzi, o ustalenie lokalizacji inwestycji mieszkaniowej polegającej na budowie budynku mieszkalnego wielorodzinnego z częścią handlowo-usługową wraz z parkingiem podziemnym i naziemnym, niezbędną infrastrukturą, na działkach lub ich częściach o n</w:t>
      </w:r>
      <w:r>
        <w:rPr>
          <w:color w:val="000000"/>
          <w:szCs w:val="20"/>
          <w:shd w:val="clear" w:color="auto" w:fill="FFFFFF"/>
        </w:rPr>
        <w:t>umerach</w:t>
      </w:r>
      <w:r>
        <w:rPr>
          <w:color w:val="000000"/>
          <w:szCs w:val="20"/>
          <w:shd w:val="clear" w:color="auto" w:fill="FFFFFF"/>
          <w:lang w:val="x-none" w:eastAsia="en-US" w:bidi="ar-SA"/>
        </w:rPr>
        <w:t>: 21/9, 21/13, 21/14, 45/8 i 21/7 w obrębie W-25 przy ulicy Targowej 55 w Łodzi, na podstawie art. 7 ust. 1 i 6 ustawy z dnia 5 lipca 2018 r. o ułatwieniach w przygotowaniu i realizacji inwestycji mieszkaniowych i inwestycji towarzyszących (</w:t>
      </w:r>
      <w:r>
        <w:rPr>
          <w:color w:val="000000"/>
          <w:szCs w:val="20"/>
          <w:u w:color="000000"/>
          <w:shd w:val="clear" w:color="auto" w:fill="FFFFFF"/>
          <w:lang w:val="x-none" w:eastAsia="en-US" w:bidi="ar-SA"/>
        </w:rPr>
        <w:t>Dz. U. z 2025 r. poz. 1754</w:t>
      </w:r>
      <w:r>
        <w:rPr>
          <w:color w:val="000000"/>
          <w:szCs w:val="20"/>
          <w:shd w:val="clear" w:color="auto" w:fill="FFFFFF"/>
          <w:lang w:val="x-none" w:eastAsia="en-US" w:bidi="ar-SA"/>
        </w:rPr>
        <w:t xml:space="preserve">), zwanej dalej specustawą. Wniosek był modyfikowany, </w:t>
      </w:r>
      <w:r>
        <w:rPr>
          <w:color w:val="000000"/>
          <w:szCs w:val="20"/>
          <w:shd w:val="clear" w:color="auto" w:fill="FFFFFF"/>
        </w:rPr>
        <w:t>a</w:t>
      </w:r>
      <w:r>
        <w:rPr>
          <w:color w:val="000000"/>
          <w:szCs w:val="20"/>
          <w:shd w:val="clear" w:color="auto" w:fill="FFFFFF"/>
          <w:lang w:val="x-none" w:eastAsia="en-US" w:bidi="ar-SA"/>
        </w:rPr>
        <w:t xml:space="preserve"> ostatniej modyfikacji Inwestor dokonał 27 listopada 2025 r. </w:t>
      </w:r>
    </w:p>
    <w:p w:rsidR="002602E5" w:rsidRDefault="002957DC">
      <w:pPr>
        <w:keepLines/>
        <w:spacing w:before="120" w:after="120"/>
        <w:ind w:firstLine="435"/>
        <w:rPr>
          <w:color w:val="000000"/>
          <w:szCs w:val="20"/>
          <w:shd w:val="clear" w:color="auto" w:fill="FFFFFF"/>
          <w:lang w:val="x-none" w:eastAsia="en-US" w:bidi="ar-SA"/>
        </w:rPr>
      </w:pPr>
      <w:r>
        <w:rPr>
          <w:color w:val="000000"/>
          <w:szCs w:val="20"/>
          <w:shd w:val="clear" w:color="auto" w:fill="FFFFFF"/>
          <w:lang w:val="x-none" w:eastAsia="en-US" w:bidi="ar-SA"/>
        </w:rPr>
        <w:t>W sprawie zastosowanie mają przepisy specustawy w brzmieniu obowiązującym przed 24 września 2023 r. z wyjątkiem art. 2 pkt 3, 7 i 8, art. 7 ust. 7 pkt 7a, art. 17 ust. 4a-4d zgodnie z art. 70 ust. 2 ustawy z dnia 7 lipca 2023 r. o zmianie ustawy o planowaniu i zagospodarowaniu przestrzennym oraz niektórych innych ustaw (Dz. U. poz. 1688, z 2024 r. poz. 1824 oraz z 2025 r. poz. 527</w:t>
      </w:r>
      <w:r>
        <w:rPr>
          <w:color w:val="000000"/>
          <w:szCs w:val="20"/>
          <w:shd w:val="clear" w:color="auto" w:fill="FFFFFF"/>
        </w:rPr>
        <w:t>, 1543 i 1668</w:t>
      </w:r>
      <w:r>
        <w:rPr>
          <w:color w:val="000000"/>
          <w:szCs w:val="20"/>
          <w:shd w:val="clear" w:color="auto" w:fill="FFFFFF"/>
          <w:lang w:val="x-none" w:eastAsia="en-US" w:bidi="ar-SA"/>
        </w:rPr>
        <w:t>) oraz art. 17 i 19 ust. 3 zmienione ustawą z dnia 25 lipca 2025 r. o zmianie ustawy o społecznych formach rozwoju mieszkalnictwa oraz niektórych innych ustaw (Dz. U. poz. 1077).</w:t>
      </w:r>
    </w:p>
    <w:p w:rsidR="002602E5" w:rsidRDefault="002957DC">
      <w:pPr>
        <w:spacing w:before="120" w:after="120"/>
        <w:ind w:firstLine="435"/>
        <w:rPr>
          <w:color w:val="000000"/>
          <w:szCs w:val="20"/>
          <w:shd w:val="clear" w:color="auto" w:fill="FFFFFF"/>
          <w:lang w:val="x-none" w:eastAsia="en-US" w:bidi="ar-SA"/>
        </w:rPr>
      </w:pPr>
      <w:r>
        <w:rPr>
          <w:color w:val="000000"/>
          <w:szCs w:val="20"/>
          <w:shd w:val="clear" w:color="auto" w:fill="FFFFFF"/>
          <w:lang w:val="x-none" w:eastAsia="en-US" w:bidi="ar-SA"/>
        </w:rPr>
        <w:t>Po weryfikacji zmodyfikowanego 27 listopada 2025 r. wniosku stwierdzono, ż</w:t>
      </w:r>
      <w:r>
        <w:rPr>
          <w:color w:val="000000"/>
          <w:szCs w:val="20"/>
          <w:shd w:val="clear" w:color="auto" w:fill="FFFFFF"/>
          <w:lang w:val="nl-NL" w:eastAsia="nl-NL" w:bidi="nl-NL"/>
        </w:rPr>
        <w:t>e spe</w:t>
      </w:r>
      <w:r>
        <w:rPr>
          <w:color w:val="000000"/>
          <w:szCs w:val="20"/>
          <w:shd w:val="clear" w:color="auto" w:fill="FFFFFF"/>
          <w:lang w:val="x-none" w:eastAsia="en-US" w:bidi="ar-SA"/>
        </w:rPr>
        <w:t>łnia on wymogi dotyczące kompletności wniosku okreś</w:t>
      </w:r>
      <w:r>
        <w:rPr>
          <w:color w:val="000000"/>
          <w:szCs w:val="20"/>
          <w:shd w:val="clear" w:color="auto" w:fill="FFFFFF"/>
          <w:lang w:val="en-US" w:eastAsia="en-US" w:bidi="en-US"/>
        </w:rPr>
        <w:t>lone w</w:t>
      </w:r>
      <w:r>
        <w:rPr>
          <w:color w:val="000000"/>
          <w:szCs w:val="20"/>
          <w:shd w:val="clear" w:color="auto" w:fill="FFFFFF"/>
          <w:lang w:val="x-none" w:eastAsia="en-US" w:bidi="ar-SA"/>
        </w:rPr>
        <w:t> art. 7 ust. 7 specustawy. We wniosku określono granice terenu objętego wnioskiem, przedstawiając je na kopii mapy zasadniczej. Określono planowaną minimalną i maksymalną powierzchnię użytkową mieszkań wynoszącą od 2740 m</w:t>
      </w:r>
      <w:r>
        <w:rPr>
          <w:color w:val="000000"/>
          <w:szCs w:val="20"/>
          <w:shd w:val="clear" w:color="auto" w:fill="FFFFFF"/>
          <w:vertAlign w:val="superscript"/>
          <w:lang w:val="x-none" w:eastAsia="en-US" w:bidi="ar-SA"/>
        </w:rPr>
        <w:t>2</w:t>
      </w:r>
      <w:r>
        <w:rPr>
          <w:color w:val="000000"/>
          <w:szCs w:val="20"/>
          <w:shd w:val="clear" w:color="auto" w:fill="FFFFFF"/>
          <w:lang w:val="x-none" w:eastAsia="en-US" w:bidi="ar-SA"/>
        </w:rPr>
        <w:t xml:space="preserve"> do 3145 m</w:t>
      </w:r>
      <w:r>
        <w:rPr>
          <w:color w:val="000000"/>
          <w:szCs w:val="20"/>
          <w:shd w:val="clear" w:color="auto" w:fill="FFFFFF"/>
          <w:vertAlign w:val="superscript"/>
          <w:lang w:val="x-none" w:eastAsia="en-US" w:bidi="ar-SA"/>
        </w:rPr>
        <w:t>2</w:t>
      </w:r>
      <w:r>
        <w:rPr>
          <w:color w:val="000000"/>
          <w:szCs w:val="20"/>
          <w:shd w:val="clear" w:color="auto" w:fill="FFFFFF"/>
          <w:lang w:val="x-none" w:eastAsia="en-US" w:bidi="ar-SA"/>
        </w:rPr>
        <w:t xml:space="preserve"> oraz planowaną minimalną i maksymalną liczbę mieszkań wynoszącą od 50</w:t>
      </w:r>
      <w:r>
        <w:rPr>
          <w:color w:val="000000"/>
          <w:szCs w:val="20"/>
          <w:shd w:val="clear" w:color="auto" w:fill="FFFFFF"/>
          <w:lang w:val="pt-PT" w:eastAsia="pt-PT" w:bidi="pt-PT"/>
        </w:rPr>
        <w:t xml:space="preserve"> do </w:t>
      </w:r>
      <w:r>
        <w:rPr>
          <w:color w:val="000000"/>
          <w:szCs w:val="20"/>
          <w:shd w:val="clear" w:color="auto" w:fill="FFFFFF"/>
          <w:lang w:val="x-none" w:eastAsia="en-US" w:bidi="ar-SA"/>
        </w:rPr>
        <w:t xml:space="preserve">61.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Wskazano na niesprzeczność planowanej inwestycji mieszkaniowej ze studium uwarunkowań i kierunków zagospodarowania przestrzennego miasta Łodzi oraz uchwałą o utworzeniu parku kulturowego. </w:t>
      </w:r>
      <w:r>
        <w:rPr>
          <w:color w:val="000000"/>
          <w:szCs w:val="20"/>
          <w:shd w:val="clear" w:color="auto" w:fill="FFFFFF"/>
          <w:lang w:val="de-DE" w:eastAsia="de-DE" w:bidi="de-DE"/>
        </w:rPr>
        <w:t>W</w:t>
      </w:r>
      <w:r>
        <w:rPr>
          <w:color w:val="000000"/>
          <w:szCs w:val="20"/>
          <w:shd w:val="clear" w:color="auto" w:fill="FFFFFF"/>
          <w:lang w:val="x-none" w:eastAsia="en-US" w:bidi="ar-SA"/>
        </w:rPr>
        <w:t>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specjalności architektonicznej oraz inne wymagane oświadczenia i zaświadczenia.</w:t>
      </w:r>
    </w:p>
    <w:p w:rsidR="002602E5" w:rsidRDefault="002957DC">
      <w:pPr>
        <w:keepLines/>
        <w:spacing w:before="120" w:after="120"/>
        <w:ind w:firstLine="340"/>
        <w:rPr>
          <w:color w:val="000000"/>
          <w:szCs w:val="20"/>
          <w:shd w:val="clear" w:color="auto" w:fill="FFFFFF"/>
          <w:lang w:val="x-none" w:eastAsia="en-US" w:bidi="ar-SA"/>
        </w:rPr>
      </w:pPr>
      <w:r>
        <w:rPr>
          <w:color w:val="000000"/>
          <w:szCs w:val="20"/>
          <w:shd w:val="clear" w:color="auto" w:fill="FFFFFF"/>
          <w:lang w:val="x-none" w:eastAsia="en-US" w:bidi="ar-SA"/>
        </w:rPr>
        <w:t xml:space="preserve"> Dnia 1 grudnia 2025 r. wniosek został udostępniony na stronie podmiotowej Biuletynu Informacji Publicznej wraz z informacją o formie, miejscu i terminie składania uwag. Ponadto, w dniu 5 grudnia 2025 r. w lokalnej prasie "Łódź.pl" pojawiła się informacja o wpływie zmodyfikowanego wniosku wraz z informacją o formie, miejscu i terminie składania uwag. Do dnia sporządzenia niniejszego uzasadnienia projektu uchwały, żadne wnioski i uwagi nie wpłynęły do Biura Architekta Miasta.</w:t>
      </w:r>
    </w:p>
    <w:p w:rsidR="002602E5" w:rsidRDefault="002957DC">
      <w:pPr>
        <w:keepLines/>
        <w:spacing w:before="120" w:after="120"/>
        <w:ind w:firstLine="340"/>
        <w:rPr>
          <w:color w:val="000000"/>
          <w:szCs w:val="20"/>
          <w:shd w:val="clear" w:color="auto" w:fill="FFFFFF"/>
          <w:lang w:val="x-none" w:eastAsia="en-US" w:bidi="ar-SA"/>
        </w:rPr>
      </w:pPr>
      <w:r>
        <w:rPr>
          <w:color w:val="000000"/>
          <w:szCs w:val="20"/>
          <w:shd w:val="clear" w:color="auto" w:fill="FFFFFF"/>
          <w:lang w:val="x-none" w:eastAsia="en-US" w:bidi="ar-SA"/>
        </w:rPr>
        <w:t xml:space="preserve"> Pismami z dnia 1 grudnia 2025 r. powiadomiono organy opiniujące i uzgadniające, o których mowa w art. 7 ust. 12 i 14 specustawy, o możliwości przedstawienia stanowiska w sprawie w ciągu 21 dni od daty doręczenia wystąpienia.</w:t>
      </w:r>
    </w:p>
    <w:p w:rsidR="002602E5" w:rsidRDefault="002957DC">
      <w:pPr>
        <w:spacing w:before="120" w:after="120"/>
        <w:ind w:left="283" w:firstLine="227"/>
        <w:rPr>
          <w:color w:val="000000"/>
          <w:szCs w:val="20"/>
          <w:shd w:val="clear" w:color="auto" w:fill="FFFFFF"/>
          <w:lang w:val="x-none" w:eastAsia="en-US" w:bidi="ar-SA"/>
        </w:rPr>
      </w:pPr>
      <w:r>
        <w:rPr>
          <w:color w:val="000000"/>
          <w:szCs w:val="20"/>
          <w:shd w:val="clear" w:color="auto" w:fill="FFFFFF"/>
          <w:lang w:val="x-none" w:eastAsia="en-US" w:bidi="ar-SA"/>
        </w:rPr>
        <w:t>Następujące organy opiniujące udzieliły odpowiedzi:</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 Szef Centralnego Wojskowego Centrum Rekrutacji Ośrodek Zamiejscowy w Łodzi - pismo z dnia 9 grudnia 2025 r., znak: CWCR_OZ_Łódź-WWiZ.0732.834.2025, informujące o braku uwag i wniosków do sprawy;</w:t>
      </w:r>
    </w:p>
    <w:p w:rsidR="002602E5" w:rsidRDefault="002957DC">
      <w:pPr>
        <w:spacing w:before="120" w:after="120"/>
        <w:ind w:firstLine="510"/>
        <w:rPr>
          <w:color w:val="000000"/>
          <w:szCs w:val="20"/>
          <w:shd w:val="clear" w:color="auto" w:fill="FFFFFF"/>
          <w:lang w:val="x-none" w:eastAsia="en-US" w:bidi="ar-SA"/>
        </w:rPr>
      </w:pPr>
      <w:r>
        <w:rPr>
          <w:rFonts w:ascii="Times New Roman Greek" w:hAnsi="Times New Roman Greek"/>
          <w:color w:val="000000"/>
          <w:szCs w:val="20"/>
          <w:shd w:val="clear" w:color="auto" w:fill="FFFFFF"/>
          <w:lang w:val="x-none" w:eastAsia="en-US" w:bidi="ar-SA"/>
        </w:rPr>
        <w:t xml:space="preserve">― </w:t>
      </w:r>
      <w:r>
        <w:rPr>
          <w:color w:val="000000"/>
          <w:szCs w:val="20"/>
          <w:shd w:val="clear" w:color="auto" w:fill="FFFFFF"/>
          <w:lang w:val="x-none" w:eastAsia="en-US" w:bidi="ar-SA"/>
        </w:rPr>
        <w:t xml:space="preserve">Łódzki Państwowy Wojewódzki Inspektor Sanitarny - opinia pozytywna z 8 grudnia 2025 r.,  znak: </w:t>
      </w:r>
      <w:r>
        <w:rPr>
          <w:color w:val="000000"/>
          <w:szCs w:val="20"/>
          <w:shd w:val="clear" w:color="auto" w:fill="FFFFFF"/>
          <w:lang w:val="de-DE" w:eastAsia="de-DE" w:bidi="de-DE"/>
        </w:rPr>
        <w:t>NS</w:t>
      </w:r>
      <w:r>
        <w:rPr>
          <w:color w:val="000000"/>
          <w:szCs w:val="20"/>
          <w:shd w:val="clear" w:color="auto" w:fill="FFFFFF"/>
          <w:lang w:val="x-none" w:eastAsia="en-US" w:bidi="ar-SA"/>
        </w:rPr>
        <w:t xml:space="preserve"> </w:t>
      </w:r>
      <w:r>
        <w:rPr>
          <w:color w:val="000000"/>
          <w:szCs w:val="20"/>
          <w:shd w:val="clear" w:color="auto" w:fill="FFFFFF"/>
          <w:lang w:val="de-DE" w:eastAsia="de-DE" w:bidi="de-DE"/>
        </w:rPr>
        <w:t>OZNS.9022.</w:t>
      </w:r>
      <w:r>
        <w:rPr>
          <w:color w:val="000000"/>
          <w:szCs w:val="20"/>
          <w:shd w:val="clear" w:color="auto" w:fill="FFFFFF"/>
          <w:lang w:val="x-none" w:eastAsia="en-US" w:bidi="ar-SA"/>
        </w:rPr>
        <w:t>861</w:t>
      </w:r>
      <w:r>
        <w:rPr>
          <w:color w:val="000000"/>
          <w:szCs w:val="20"/>
          <w:shd w:val="clear" w:color="auto" w:fill="FFFFFF"/>
          <w:lang w:val="de-DE" w:eastAsia="de-DE" w:bidi="de-DE"/>
        </w:rPr>
        <w:t>.202</w:t>
      </w:r>
      <w:r>
        <w:rPr>
          <w:color w:val="000000"/>
          <w:szCs w:val="20"/>
          <w:shd w:val="clear" w:color="auto" w:fill="FFFFFF"/>
          <w:lang w:val="x-none" w:eastAsia="en-US" w:bidi="ar-SA"/>
        </w:rPr>
        <w:t>5</w:t>
      </w:r>
      <w:r>
        <w:rPr>
          <w:color w:val="000000"/>
          <w:szCs w:val="20"/>
          <w:shd w:val="clear" w:color="auto" w:fill="FFFFFF"/>
          <w:lang w:val="de-DE" w:eastAsia="de-DE" w:bidi="de-DE"/>
        </w:rPr>
        <w:t>.</w:t>
      </w:r>
      <w:r>
        <w:rPr>
          <w:color w:val="000000"/>
          <w:szCs w:val="20"/>
          <w:shd w:val="clear" w:color="auto" w:fill="FFFFFF"/>
          <w:lang w:val="x-none" w:eastAsia="en-US" w:bidi="ar-SA"/>
        </w:rPr>
        <w:t>AK;</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 Miejska Komisja Urbanistyczno-Architektoniczna - pozytywna opinia wyrażona w uchwale nr 64/XXIV/2025 z dnia 17 grudnia 2025 r.;</w:t>
      </w:r>
    </w:p>
    <w:p w:rsidR="002602E5" w:rsidRDefault="002957DC">
      <w:pPr>
        <w:ind w:firstLine="435"/>
        <w:rPr>
          <w:szCs w:val="20"/>
          <w:lang w:val="x-none" w:eastAsia="en-US" w:bidi="ar-SA"/>
        </w:rPr>
      </w:pPr>
      <w:r>
        <w:rPr>
          <w:szCs w:val="20"/>
          <w:lang w:val="x-none" w:eastAsia="en-US" w:bidi="ar-SA"/>
        </w:rPr>
        <w:t>― Zarząd Województwa Łódzkiego, w imieniu którego działa Dyrektor Biura Planowania Przestrzennego Województwa Łódzkiego w Łodzi - pismo z dnia 10 grudnia 2025 r., znak BPPWŁ.ZP.405.15.2025, informują</w:t>
      </w:r>
      <w:r>
        <w:rPr>
          <w:szCs w:val="20"/>
          <w:lang w:val="it-IT" w:eastAsia="it-IT" w:bidi="it-IT"/>
        </w:rPr>
        <w:t>c</w:t>
      </w:r>
      <w:r>
        <w:rPr>
          <w:szCs w:val="20"/>
          <w:lang w:val="x-none" w:eastAsia="en-US" w:bidi="ar-SA"/>
        </w:rPr>
        <w:t>e</w:t>
      </w:r>
      <w:r>
        <w:rPr>
          <w:szCs w:val="20"/>
          <w:lang w:val="it-IT" w:eastAsia="it-IT" w:bidi="it-IT"/>
        </w:rPr>
        <w:t xml:space="preserve"> o</w:t>
      </w:r>
      <w:r>
        <w:rPr>
          <w:szCs w:val="20"/>
          <w:lang w:val="x-none" w:eastAsia="en-US" w:bidi="ar-SA"/>
        </w:rPr>
        <w:t xml:space="preserve"> negatywnej opinii dla planowanej inwestycji mieszkaniowej w zakresie uwzględnienia wyników audytu krajobrazowego z uwagi na przedstawione założenia projektowe dotyczące gabarytów inwestycji, zwłaszcza w zakresie wysokości elewacji i ilości kondygnacji, które będą kolidować z następującymi rekomendacjami obowiązującymi w granicach krajobrazu priorytetowego 10 318.19-169 / Łódź - krajobraz wielkomiejski: </w:t>
      </w:r>
    </w:p>
    <w:p w:rsidR="002602E5" w:rsidRDefault="002957DC">
      <w:pPr>
        <w:rPr>
          <w:szCs w:val="20"/>
          <w:lang w:val="x-none" w:eastAsia="en-US" w:bidi="ar-SA"/>
        </w:rPr>
      </w:pPr>
      <w:r>
        <w:rPr>
          <w:szCs w:val="20"/>
          <w:lang w:val="x-none" w:eastAsia="en-US" w:bidi="ar-SA"/>
        </w:rPr>
        <w:t xml:space="preserve">C.II.2.2. - Dążenie do kształtowania wysokości zabudowy na zbliżonym poziomie w obrębie kwartałów zabudowy, ze szczególnym uwzględnieniem uwarunkowań historycznych. </w:t>
      </w:r>
    </w:p>
    <w:p w:rsidR="002602E5" w:rsidRDefault="002957DC">
      <w:pPr>
        <w:rPr>
          <w:szCs w:val="20"/>
          <w:lang w:val="x-none" w:eastAsia="en-US" w:bidi="ar-SA"/>
        </w:rPr>
      </w:pPr>
      <w:r>
        <w:rPr>
          <w:szCs w:val="20"/>
          <w:lang w:val="x-none" w:eastAsia="en-US" w:bidi="ar-SA"/>
        </w:rPr>
        <w:t xml:space="preserve">C.II.2.4. - Nawiązanie gabarytami, a w szczególności wysokością elewacji i wysokością dachów budynków frontowych, do gabarytów historycznej zabudowy (LFA) istniejącej w bezpośrednim sąsiedztwie (zwłaszcza dla zabudowy kamienicowej w pierzejach ulic). </w:t>
      </w:r>
    </w:p>
    <w:p w:rsidR="002602E5" w:rsidRDefault="002957DC">
      <w:pPr>
        <w:rPr>
          <w:szCs w:val="20"/>
          <w:lang w:val="x-none" w:eastAsia="en-US" w:bidi="ar-SA"/>
        </w:rPr>
      </w:pPr>
      <w:r>
        <w:rPr>
          <w:szCs w:val="20"/>
          <w:lang w:val="x-none" w:eastAsia="en-US" w:bidi="ar-SA"/>
        </w:rPr>
        <w:t xml:space="preserve">C.II.2.5. - Niewprowadzanie obiektów mogących negatywnie wpływać na walory widokowo-kompozycyjne krajobrazu, ze względu na skalę lub formę. </w:t>
      </w:r>
    </w:p>
    <w:p w:rsidR="002602E5" w:rsidRDefault="002957DC">
      <w:pPr>
        <w:rPr>
          <w:szCs w:val="20"/>
          <w:lang w:val="x-none" w:eastAsia="en-US" w:bidi="ar-SA"/>
        </w:rPr>
      </w:pPr>
      <w:r>
        <w:rPr>
          <w:szCs w:val="20"/>
          <w:lang w:val="x-none" w:eastAsia="en-US" w:bidi="ar-SA"/>
        </w:rPr>
        <w:t xml:space="preserve">Ponadto, jak wskazano w piśmie, przedmiotowa inwestycja znajduje się w bezpośrednim sąsiedztwie: </w:t>
      </w:r>
    </w:p>
    <w:p w:rsidR="002602E5" w:rsidRDefault="002957DC">
      <w:pPr>
        <w:rPr>
          <w:szCs w:val="20"/>
          <w:lang w:val="x-none" w:eastAsia="en-US" w:bidi="ar-SA"/>
        </w:rPr>
      </w:pPr>
      <w:r>
        <w:rPr>
          <w:szCs w:val="20"/>
          <w:lang w:val="x-none" w:eastAsia="en-US" w:bidi="ar-SA"/>
        </w:rPr>
        <w:t xml:space="preserve">- strefy W1 – zabudowy śródmiejskiej historycznej, znajdującej się w północnej części kwartału, zlokalizowanej od strony ul. Piłsudskiego i Targowej, oraz </w:t>
      </w:r>
    </w:p>
    <w:p w:rsidR="002602E5" w:rsidRDefault="002957DC">
      <w:pPr>
        <w:rPr>
          <w:szCs w:val="20"/>
          <w:lang w:val="x-none" w:eastAsia="en-US" w:bidi="ar-SA"/>
        </w:rPr>
      </w:pPr>
      <w:r>
        <w:rPr>
          <w:szCs w:val="20"/>
          <w:lang w:val="x-none" w:eastAsia="en-US" w:bidi="ar-SA"/>
        </w:rPr>
        <w:t xml:space="preserve">- strefy C1 – zespołu pofabrycznego K.W.Scheiblera, zlokalizowanej na południe od obszaru przedmiotowej inwestycji, przy ul. Targowej. </w:t>
      </w:r>
    </w:p>
    <w:p w:rsidR="002602E5" w:rsidRDefault="002957DC">
      <w:pPr>
        <w:rPr>
          <w:szCs w:val="20"/>
          <w:lang w:val="x-none" w:eastAsia="en-US" w:bidi="ar-SA"/>
        </w:rPr>
      </w:pPr>
      <w:r>
        <w:rPr>
          <w:szCs w:val="20"/>
          <w:lang w:val="x-none" w:eastAsia="en-US" w:bidi="ar-SA"/>
        </w:rPr>
        <w:t>Wysokość projektowanego budynku stoi w sprzeczności z rekomendacjami dla ww. obszarów zabudowanych wyróżniających się występowaniem LFA. Parametry i wskaźniki zagospodarowania terenu, wynikające z Katalogu lokalnych form architektonicznych dla Łodzi1, opracowanego w ramach Audytu krajobrazowego województwa łódzkiego, stanowią iż m.in. wysokość zabudowy frontowej nie może przekraczać 21 m, natomiast gabaryty, a w szczególności wysokość elewacji i wysokość dachów budynków frontowych lub linie gzymsów, muszą nawiązywać do zabudowy istniejącej w bezpośrednim sąsiedztwie.</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W ustawowym terminie nie wpłynęły ponadto opinie, właściwe według specustawy dla terenu inwestycji:</w:t>
      </w:r>
    </w:p>
    <w:p w:rsidR="002602E5" w:rsidRDefault="002957DC">
      <w:pPr>
        <w:tabs>
          <w:tab w:val="left" w:pos="855"/>
        </w:tabs>
        <w:spacing w:before="120" w:after="120"/>
        <w:ind w:left="435"/>
        <w:rPr>
          <w:szCs w:val="20"/>
          <w:shd w:val="clear" w:color="auto" w:fill="FFFFFF"/>
          <w:lang w:val="x-none" w:eastAsia="en-US" w:bidi="ar-SA"/>
        </w:rPr>
      </w:pPr>
      <w:r>
        <w:rPr>
          <w:szCs w:val="20"/>
          <w:shd w:val="clear" w:color="auto" w:fill="FFFFFF"/>
          <w:lang w:val="x-none" w:eastAsia="en-US" w:bidi="ar-SA"/>
        </w:rPr>
        <w:t>―</w:t>
      </w:r>
      <w:r>
        <w:rPr>
          <w:szCs w:val="20"/>
          <w:shd w:val="clear" w:color="auto" w:fill="FFFFFF"/>
          <w:lang w:val="x-none" w:eastAsia="en-US" w:bidi="ar-SA"/>
        </w:rPr>
        <w:tab/>
        <w:t xml:space="preserve">Prezydenta Miasta Łodzi, w którego imieniu działa Dyrektor Łódzkiego Ośrodka </w:t>
      </w:r>
      <w:r>
        <w:rPr>
          <w:szCs w:val="20"/>
          <w:shd w:val="clear" w:color="auto" w:fill="FFFFFF"/>
          <w:lang w:val="x-none" w:eastAsia="en-US" w:bidi="ar-SA"/>
        </w:rPr>
        <w:tab/>
        <w:t>Geodezji;</w:t>
      </w:r>
    </w:p>
    <w:p w:rsidR="002602E5" w:rsidRDefault="002957DC">
      <w:pPr>
        <w:tabs>
          <w:tab w:val="left" w:pos="855"/>
        </w:tabs>
        <w:spacing w:before="120" w:after="120"/>
        <w:ind w:firstLine="435"/>
        <w:rPr>
          <w:szCs w:val="20"/>
          <w:shd w:val="clear" w:color="auto" w:fill="FFFFFF"/>
          <w:lang w:val="x-none" w:eastAsia="en-US" w:bidi="ar-SA"/>
        </w:rPr>
      </w:pPr>
      <w:r>
        <w:rPr>
          <w:szCs w:val="20"/>
          <w:shd w:val="clear" w:color="auto" w:fill="FFFFFF"/>
          <w:lang w:val="x-none" w:eastAsia="en-US" w:bidi="ar-SA"/>
        </w:rPr>
        <w:t>―</w:t>
      </w:r>
      <w:r>
        <w:rPr>
          <w:szCs w:val="20"/>
          <w:shd w:val="clear" w:color="auto" w:fill="FFFFFF"/>
          <w:lang w:val="x-none" w:eastAsia="en-US" w:bidi="ar-SA"/>
        </w:rPr>
        <w:tab/>
        <w:t>Agencji Bezpieczeństwa Wewnętrznego / Dyrektora Delegatury w Katowicach;</w:t>
      </w:r>
    </w:p>
    <w:p w:rsidR="002602E5" w:rsidRDefault="002957DC">
      <w:pPr>
        <w:tabs>
          <w:tab w:val="left" w:pos="855"/>
        </w:tabs>
        <w:spacing w:before="120" w:after="120"/>
        <w:ind w:firstLine="435"/>
        <w:rPr>
          <w:szCs w:val="20"/>
          <w:shd w:val="clear" w:color="auto" w:fill="FFFFFF"/>
          <w:lang w:val="x-none" w:eastAsia="en-US" w:bidi="ar-SA"/>
        </w:rPr>
      </w:pPr>
      <w:r>
        <w:rPr>
          <w:szCs w:val="20"/>
          <w:shd w:val="clear" w:color="auto" w:fill="FFFFFF"/>
          <w:lang w:val="x-none" w:eastAsia="en-US" w:bidi="ar-SA"/>
        </w:rPr>
        <w:t>―</w:t>
      </w:r>
      <w:r>
        <w:rPr>
          <w:szCs w:val="20"/>
          <w:shd w:val="clear" w:color="auto" w:fill="FFFFFF"/>
          <w:lang w:val="x-none" w:eastAsia="en-US" w:bidi="ar-SA"/>
        </w:rPr>
        <w:tab/>
        <w:t>Komendanta Wojewódzkiego Policji w Łodzi;</w:t>
      </w:r>
    </w:p>
    <w:p w:rsidR="002602E5" w:rsidRDefault="002957DC">
      <w:pPr>
        <w:tabs>
          <w:tab w:val="left" w:pos="855"/>
        </w:tabs>
        <w:spacing w:before="120" w:after="120"/>
        <w:ind w:firstLine="435"/>
        <w:rPr>
          <w:szCs w:val="20"/>
          <w:shd w:val="clear" w:color="auto" w:fill="FFFFFF"/>
          <w:lang w:val="x-none" w:eastAsia="en-US" w:bidi="ar-SA"/>
        </w:rPr>
      </w:pPr>
      <w:r>
        <w:rPr>
          <w:szCs w:val="20"/>
          <w:shd w:val="clear" w:color="auto" w:fill="FFFFFF"/>
          <w:lang w:val="x-none" w:eastAsia="en-US" w:bidi="ar-SA"/>
        </w:rPr>
        <w:t>―</w:t>
      </w:r>
      <w:r>
        <w:rPr>
          <w:szCs w:val="20"/>
          <w:shd w:val="clear" w:color="auto" w:fill="FFFFFF"/>
          <w:lang w:val="x-none" w:eastAsia="en-US" w:bidi="ar-SA"/>
        </w:rPr>
        <w:tab/>
        <w:t>Komendanta Wojewódzkiego Państwowej Straży Pożarnej w Łodzi;</w:t>
      </w:r>
    </w:p>
    <w:p w:rsidR="002602E5" w:rsidRDefault="002957DC">
      <w:pPr>
        <w:tabs>
          <w:tab w:val="left" w:pos="855"/>
        </w:tabs>
        <w:spacing w:before="120" w:after="120"/>
        <w:ind w:left="435"/>
        <w:rPr>
          <w:szCs w:val="20"/>
          <w:shd w:val="clear" w:color="auto" w:fill="FFFFFF"/>
          <w:lang w:val="x-none" w:eastAsia="en-US" w:bidi="ar-SA"/>
        </w:rPr>
      </w:pPr>
      <w:r>
        <w:rPr>
          <w:szCs w:val="20"/>
          <w:shd w:val="clear" w:color="auto" w:fill="FFFFFF"/>
          <w:lang w:val="x-none" w:eastAsia="en-US" w:bidi="ar-SA"/>
        </w:rPr>
        <w:t>―</w:t>
      </w:r>
      <w:r>
        <w:rPr>
          <w:szCs w:val="20"/>
          <w:shd w:val="clear" w:color="auto" w:fill="FFFFFF"/>
          <w:lang w:val="x-none" w:eastAsia="en-US" w:bidi="ar-SA"/>
        </w:rPr>
        <w:tab/>
        <w:t>Komendanta Nadwiślańskiego Oddział</w:t>
      </w:r>
      <w:r>
        <w:rPr>
          <w:szCs w:val="20"/>
          <w:shd w:val="clear" w:color="auto" w:fill="FFFFFF"/>
          <w:lang w:val="de-DE" w:eastAsia="de-DE" w:bidi="de-DE"/>
        </w:rPr>
        <w:t>u Stra</w:t>
      </w:r>
      <w:r>
        <w:rPr>
          <w:szCs w:val="20"/>
          <w:shd w:val="clear" w:color="auto" w:fill="FFFFFF"/>
          <w:lang w:val="x-none" w:eastAsia="en-US" w:bidi="ar-SA"/>
        </w:rPr>
        <w:t xml:space="preserve">ży Granicznej im. Powstania </w:t>
      </w:r>
      <w:r>
        <w:rPr>
          <w:szCs w:val="20"/>
          <w:shd w:val="clear" w:color="auto" w:fill="FFFFFF"/>
          <w:lang w:val="x-none" w:eastAsia="en-US" w:bidi="ar-SA"/>
        </w:rPr>
        <w:tab/>
        <w:t>Warszawskiego,</w:t>
      </w:r>
    </w:p>
    <w:p w:rsidR="002602E5" w:rsidRDefault="002957DC">
      <w:pPr>
        <w:tabs>
          <w:tab w:val="left" w:pos="855"/>
        </w:tabs>
        <w:spacing w:before="120" w:after="120"/>
        <w:ind w:firstLine="435"/>
        <w:rPr>
          <w:szCs w:val="20"/>
          <w:shd w:val="clear" w:color="auto" w:fill="FFFFFF"/>
          <w:lang w:val="x-none" w:eastAsia="en-US" w:bidi="ar-SA"/>
        </w:rPr>
      </w:pPr>
      <w:r>
        <w:rPr>
          <w:szCs w:val="20"/>
          <w:shd w:val="clear" w:color="auto" w:fill="FFFFFF"/>
          <w:lang w:val="x-none" w:eastAsia="en-US" w:bidi="ar-SA"/>
        </w:rPr>
        <w:t>―</w:t>
      </w:r>
      <w:r>
        <w:rPr>
          <w:szCs w:val="20"/>
          <w:shd w:val="clear" w:color="auto" w:fill="FFFFFF"/>
          <w:lang w:val="x-none" w:eastAsia="en-US" w:bidi="ar-SA"/>
        </w:rPr>
        <w:tab/>
        <w:t>Prezesa Urzędu Lotnictwa Cywilnego,</w:t>
      </w:r>
    </w:p>
    <w:p w:rsidR="002602E5" w:rsidRDefault="002957DC">
      <w:pPr>
        <w:spacing w:before="120" w:after="120"/>
        <w:ind w:firstLine="510"/>
        <w:rPr>
          <w:color w:val="000000"/>
          <w:szCs w:val="20"/>
          <w:shd w:val="clear" w:color="auto" w:fill="FFFFFF"/>
          <w:lang w:val="x-none" w:eastAsia="en-US" w:bidi="ar-SA"/>
        </w:rPr>
      </w:pPr>
      <w:r>
        <w:rPr>
          <w:szCs w:val="20"/>
          <w:shd w:val="clear" w:color="auto" w:fill="FFFFFF"/>
          <w:lang w:val="x-none" w:eastAsia="en-US" w:bidi="ar-SA"/>
        </w:rPr>
        <w:t xml:space="preserve">co do których zgodnie z art. 7 ust. 13 specustawy nieprzekazanie opinii w terminie 21 dni od </w:t>
      </w:r>
      <w:r>
        <w:rPr>
          <w:color w:val="000000"/>
          <w:szCs w:val="20"/>
          <w:shd w:val="clear" w:color="auto" w:fill="FFFFFF"/>
          <w:lang w:val="x-none" w:eastAsia="en-US" w:bidi="ar-SA"/>
        </w:rPr>
        <w:t>dnia otrzymania powiadomienia uznaje się za brak zastrzeżeń.</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Łódzki Wojewódzki Konserwator Zabytków postanowieniem z dnia 18 grudnia 2025 r. znak: WUOZ-PP.5151.4293.2025.KP uzgodnił przedmiotowy wniosek w zakresie zgodności z zapisami ustawy z dnia 23 lipca 2003 r. o ochronie zabytków i opiece nad zabytkami (Dz. U. z 2024 r. poz. 1292).</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Zarząd Dróg i </w:t>
      </w:r>
      <w:r>
        <w:rPr>
          <w:color w:val="000000"/>
          <w:szCs w:val="20"/>
          <w:shd w:val="clear" w:color="auto" w:fill="FFFFFF"/>
          <w:lang w:val="pt-PT" w:eastAsia="pt-PT" w:bidi="pt-PT"/>
        </w:rPr>
        <w:t>Transportu</w:t>
      </w:r>
      <w:r>
        <w:rPr>
          <w:color w:val="000000"/>
          <w:szCs w:val="20"/>
          <w:shd w:val="clear" w:color="auto" w:fill="FFFFFF"/>
          <w:lang w:val="x-none" w:eastAsia="en-US" w:bidi="ar-SA"/>
        </w:rPr>
        <w:t xml:space="preserve">, wykonujący zadania zarządcy dróg publicznych, pismem z dnia 23 grudnia 2025 r. znak: ZDiT-UU.40121.5.229.2025, uzgodnił przedłożony wniosek inwestora w zakresie w jakim projektowana inwestycja przebiega przez nieruchomości wchodzące w skład pasa drogowego, przylega do nieruchomości wchodzących w skład pasa drogowego lub powoduje ograniczenia w sposobie zagospodarowania pasa drogowego,  akceptując zaproponowaną obsługę komunikacyjną z pasa drogowego ulicy </w:t>
      </w:r>
      <w:r>
        <w:rPr>
          <w:color w:val="000000"/>
          <w:szCs w:val="20"/>
          <w:shd w:val="clear" w:color="auto" w:fill="FFFFFF"/>
        </w:rPr>
        <w:t>T</w:t>
      </w:r>
      <w:r>
        <w:rPr>
          <w:color w:val="000000"/>
          <w:szCs w:val="20"/>
          <w:shd w:val="clear" w:color="auto" w:fill="FFFFFF"/>
          <w:lang w:val="x-none" w:eastAsia="en-US" w:bidi="ar-SA"/>
        </w:rPr>
        <w:t>argowej przez projektowany zjazd na dz. nr 21/9 w obrębie W-25 oraz poprzez istniejący przeznaczony do przebudowy zjazd na działkę nr 21/7 w obrębie W-25.</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Do projektu uchwały, zgodnie z art. 7 ust. 17 specustawy, dołączone zostały uzyskane opinie i uzgodnienia oraz prognoza oddziaływania na środowisko i opracowanie ekofizjograficzne sporządzone dla potrzeb obowiązującego miejscowego planu zagospodarowania przestrzennego. Z treści opinii i uzgodnień wynika, że podmioty opiniujące lub uzgadniające nie wniosły sprzeciwu wobec planowanej inwestycji z wyłączeniem negatywnej opinii Zarządu Województwa Łódzkiego.</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Planowany sposób zagospodarowania terenu obejmuje b</w:t>
      </w:r>
      <w:r>
        <w:rPr>
          <w:color w:val="000000"/>
          <w:szCs w:val="20"/>
          <w:u w:color="000000"/>
          <w:shd w:val="clear" w:color="auto" w:fill="FFFFFF"/>
          <w:lang w:val="x-none" w:eastAsia="en-US" w:bidi="ar-SA"/>
        </w:rPr>
        <w:t xml:space="preserve">udowę budynku mieszkalnego wielorodzinnego, </w:t>
      </w:r>
      <w:r>
        <w:rPr>
          <w:color w:val="000000"/>
          <w:szCs w:val="20"/>
          <w:shd w:val="clear" w:color="auto" w:fill="FFFFFF"/>
          <w:lang w:val="x-none" w:eastAsia="en-US" w:bidi="ar-SA"/>
        </w:rPr>
        <w:t xml:space="preserve">usytuowanego w pierzei ulicy Targowej, bezpośrednio sąsiadującego z budynkiem wpisanym do gminnej ewidencji zabytków - dawny dom mieszkalny Karola Guze (Targowa 57) - obecnie budynek Szkoły Filmowej w Łodzi (budynek dziekanatu Wydziału), oraz terenie historycznego układu urbanistycznego oraz krajobrazu kulturowego </w:t>
      </w:r>
      <w:r>
        <w:rPr>
          <w:color w:val="000000"/>
          <w:szCs w:val="20"/>
          <w:u w:color="000000"/>
          <w:shd w:val="clear" w:color="auto" w:fill="FFFFFF"/>
          <w:lang w:val="x-none" w:eastAsia="en-US" w:bidi="ar-SA"/>
        </w:rPr>
        <w:t>"Nowa Dzielnica" 1843 roku</w:t>
      </w:r>
      <w:r>
        <w:rPr>
          <w:color w:val="000000"/>
          <w:szCs w:val="20"/>
          <w:shd w:val="clear" w:color="auto" w:fill="FFFFFF"/>
          <w:lang w:val="x-none" w:eastAsia="en-US" w:bidi="ar-SA"/>
        </w:rPr>
        <w:t xml:space="preserve"> </w:t>
      </w:r>
      <w:r>
        <w:rPr>
          <w:color w:val="000000"/>
          <w:szCs w:val="20"/>
          <w:shd w:val="clear" w:color="auto" w:fill="FFFFFF"/>
        </w:rPr>
        <w:t xml:space="preserve">wpisanego </w:t>
      </w:r>
      <w:r>
        <w:rPr>
          <w:color w:val="000000"/>
          <w:szCs w:val="20"/>
          <w:shd w:val="clear" w:color="auto" w:fill="FFFFFF"/>
          <w:lang w:val="x-none" w:eastAsia="en-US" w:bidi="ar-SA"/>
        </w:rPr>
        <w:t>do Gminnej Ewidencji Zabytków Miasta Łodzi. Budynek został zaprojektowany o zmiennej wysokości, od 1 do 7 nadziemnych. Wnioskowana maksymalna wysokość wynosi - do 25 m. W parterze, od strony ulicy Targowej przewidziano lokale usługowe. Budynek zlokalizowano w narożniku ulicy Targowej oraz drogi wewnętrznej, stanowiącej dojazd do terenu inwestycji oraz sąsiednich nieruchomości.</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Wnioskodawca złożył oświadczenie, o którym mowa w art. 7 ust. 8 pkt 2 specustawy, że nie zachodzi kolizja lokalizacji inwestycji mieszkaniowej z inwestycjami, o których mowa w art. 4 pkt 1-13 specustawy i które mają ustawowe pierwszeństwo przed inwestycjami mieszkaniowymi.</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 xml:space="preserve">Na obszarze obejmującym teren wniosku obowiązuje miejscowy plan zagospodarowania przestrzennego -  uchwała Nr LXV/1938/22 Rady Miejskiej w Łodzi z dnia 14 września 2022 r., zwany dalej mpzp lub planem miejscowym. Planowana inwestycja nie uwzględnia ustaleń planu miejscowego w zakresie: powierzchni zabudowy (mpzp - maksimum 60%, koncepcja - maksimum 86,43%), intensywności zabudowy (mpzp - maksimum 3.4, koncepcja 4.6), wysokości zabudowy (mpzp - dla zabudowy frontowej - minimum 14 m, maksimum 21 m, koncepcja - od 8,40 m do 23,96, wniosek - maksimum 25 m). </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ab/>
        <w:t>Zgodnie z art. 5 ust. 3 specustawy inwestycję mieszkaniową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w:t>
      </w:r>
      <w:r>
        <w:rPr>
          <w:color w:val="000000"/>
          <w:szCs w:val="20"/>
          <w:shd w:val="clear" w:color="auto" w:fill="FFFFFF"/>
          <w:lang w:val="it-IT" w:eastAsia="it-IT" w:bidi="it-IT"/>
        </w:rPr>
        <w:t>marca 2018</w:t>
      </w:r>
      <w:r>
        <w:rPr>
          <w:color w:val="000000"/>
          <w:szCs w:val="20"/>
          <w:shd w:val="clear" w:color="auto" w:fill="FFFFFF"/>
          <w:lang w:val="x-none" w:eastAsia="en-US" w:bidi="ar-SA"/>
        </w:rPr>
        <w:t> r., zmienioną uchwałą Nr VI/215/19 Rady Miejskiej w Łodzi z dnia 6 </w:t>
      </w:r>
      <w:r>
        <w:rPr>
          <w:color w:val="000000"/>
          <w:szCs w:val="20"/>
          <w:shd w:val="clear" w:color="auto" w:fill="FFFFFF"/>
          <w:lang w:val="it-IT" w:eastAsia="it-IT" w:bidi="it-IT"/>
        </w:rPr>
        <w:t>marca 2019</w:t>
      </w:r>
      <w:r>
        <w:rPr>
          <w:color w:val="000000"/>
          <w:szCs w:val="20"/>
          <w:shd w:val="clear" w:color="auto" w:fill="FFFFFF"/>
          <w:lang w:val="x-none" w:eastAsia="en-US" w:bidi="ar-SA"/>
        </w:rPr>
        <w:t> r. oraz uchwałą Nr LII/1605/21 z dnia 22 grudnia 2021 r., zwanego dalej Studium, wynika, że lokalizacja wnioskowanej inwestycji mieszkaniowej znajduje się w jednostce W2a - strefa wielkomiejska, jednostka funkcjonalno-przestrzenna - wielofunkcyjne kwartały śródmiejskie II. W studium wskazano maksymalną intensywność zabudowy 3.0, liczoną dla całego terenu W2a. Zgodnie z wnioskiem maksymalny wskaźnik intensywności zabudowy  dla terenu W2a z uwzględnieniem projektowanej inwestycji mieszkaniowej brutto dla całej jednostki wyniesie 0.90. (koncepcja dla terenu inwestycji mieszkaniowej objętej wnioskiem - 4.6). Wskaźnik powierzchni biologicznie czynnej w Studium określono na poziomie minimum 5 %. Inwestor wnioskuje o minimum 12,5 % powierzchni biologicznie czynnej w stosunku do terenu inwestycji. W studium określono maksymalną wysokość zabudowy w pierzejach ulic i placów -  w nawiązaniu do wysokości zabudowy historycznej, nie wyżej niż 21 m, z dopuszczeniem przewyższeń  m.in. w narożnikach ulic lub ze względów uzasadnionych kompozycyjnie - nie wyżej niż 25 m. W koncepcji wskazano, że budynek zlokalizowano w narożniku ulicy Targowej i ulicy dojazdowej - działka nr ewid. 21/7, użytek "dr". W koncepcji określono wysokość zabudowy frontowej od strony ulicy Targowej od około 8,5 m przy południowej granicy terenu inwestycji do około 21,5 m aż do około 24 m w głębi działki. Inwestor wnioskuje o maksymalną wysokość do 25 m.</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 xml:space="preserve"> Inwestycja została zlokalizowana poza obszarem parku kulturowego.</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Wniosek inwestora spełnia standardy lokalizacji i realizacji inwestycji mieszkaniowych określonych w rozdziale 3 specustawy w następujący sposób:</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1) zgodnie z art. 17 ust. 1 specustawy:</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a) inwestycja ma zapewniony dostęp do drogi publicznej - ulicy Targowej,</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b) inwestycja ma zapewniony dostęp do sieci wodociągowej i kanalizacyjnej – zgodnie z pismem Zakładu Wodociągów i Kanalizacji Sp. z o.o., znak: IT.424.278.2024.SZ z dnia 14.02.2024 r.,</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c) inwestycja ma zapewniony dostęp do sieci elektroenergetycznej – zgodnie z warunkami przyłączenia nr 24-D7/WP/00581 z dnia 25.03.2024 r. PGE Dystrybucja S.A.;</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2) zgodnie z art. 17 ust. 2 w związku z art. 19 specustawy i uchwałą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w:t>
      </w:r>
      <w:r>
        <w:rPr>
          <w:color w:val="000000"/>
          <w:szCs w:val="20"/>
          <w:shd w:val="clear" w:color="auto" w:fill="FFFFFF"/>
          <w:lang w:val="de-DE" w:eastAsia="de-DE" w:bidi="de-DE"/>
        </w:rPr>
        <w:t xml:space="preserve"> z</w:t>
      </w:r>
      <w:r>
        <w:rPr>
          <w:color w:val="000000"/>
          <w:szCs w:val="20"/>
          <w:shd w:val="clear" w:color="auto" w:fill="FFFFFF"/>
          <w:lang w:val="x-none" w:eastAsia="en-US" w:bidi="ar-SA"/>
        </w:rPr>
        <w:t> dnia 1 czerwca 2022 r. (Dz. Urz. Woj. Łódzkiego poz. 3675), Nr LXXIII/2191/23</w:t>
      </w:r>
      <w:r>
        <w:rPr>
          <w:color w:val="000000"/>
          <w:szCs w:val="20"/>
          <w:shd w:val="clear" w:color="auto" w:fill="FFFFFF"/>
          <w:lang w:val="de-DE" w:eastAsia="de-DE" w:bidi="de-DE"/>
        </w:rPr>
        <w:t xml:space="preserve"> z</w:t>
      </w:r>
      <w:r>
        <w:rPr>
          <w:color w:val="000000"/>
          <w:szCs w:val="20"/>
          <w:shd w:val="clear" w:color="auto" w:fill="FFFFFF"/>
          <w:lang w:val="x-none" w:eastAsia="en-US" w:bidi="ar-SA"/>
        </w:rPr>
        <w:t> dnia 15 marca 2023 r. (Dz. Urz. Woj. Łódzkiego poz. 4066)</w:t>
      </w:r>
      <w:r>
        <w:rPr>
          <w:color w:val="000000"/>
          <w:szCs w:val="20"/>
          <w:shd w:val="clear" w:color="auto" w:fill="FFFFFF"/>
        </w:rPr>
        <w:t>,</w:t>
      </w:r>
      <w:r>
        <w:rPr>
          <w:color w:val="000000"/>
          <w:szCs w:val="20"/>
          <w:shd w:val="clear" w:color="auto" w:fill="FFFFFF"/>
          <w:lang w:val="x-none" w:eastAsia="en-US" w:bidi="ar-SA"/>
        </w:rPr>
        <w:t> Nr LXXXVI/2608/24</w:t>
      </w:r>
      <w:r>
        <w:rPr>
          <w:color w:val="000000"/>
          <w:szCs w:val="20"/>
          <w:shd w:val="clear" w:color="auto" w:fill="FFFFFF"/>
          <w:lang w:val="de-DE" w:eastAsia="de-DE" w:bidi="de-DE"/>
        </w:rPr>
        <w:t xml:space="preserve"> z</w:t>
      </w:r>
      <w:r>
        <w:rPr>
          <w:color w:val="000000"/>
          <w:szCs w:val="20"/>
          <w:shd w:val="clear" w:color="auto" w:fill="FFFFFF"/>
          <w:lang w:val="x-none" w:eastAsia="en-US" w:bidi="ar-SA"/>
        </w:rPr>
        <w:t> dnia 17 stycznia 2024 r. (Dz. Urz. Woj. Łódzkiego poz. 1102)</w:t>
      </w:r>
      <w:r>
        <w:rPr>
          <w:color w:val="000000"/>
          <w:szCs w:val="20"/>
          <w:shd w:val="clear" w:color="auto" w:fill="FFFFFF"/>
        </w:rPr>
        <w:t xml:space="preserve"> </w:t>
      </w:r>
      <w:r>
        <w:rPr>
          <w:color w:val="000000"/>
          <w:szCs w:val="20"/>
          <w:shd w:val="clear" w:color="auto" w:fill="FFFFFF"/>
          <w:lang w:val="x-none" w:eastAsia="en-US" w:bidi="ar-SA"/>
        </w:rPr>
        <w:t>i Nr XXV/705/25 z dnia 17 grudnia 2025 r. (Dz. Urz. Woj. Łódzkiego poz. 11990), zwanych dalej lokalnymi standardami urbanistycznymi:</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a) odległość (dojście) inwestycji mieszkaniowej od istniejącego przystanku publicznego transportu zbiorowego - przystanek tramwajowy przy al. Marszałka Józefa Piłsudskiego/Targowa - wynosi nie więcej niż 500 m (około 320 m),</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b)</w:t>
      </w:r>
      <w:r>
        <w:rPr>
          <w:color w:val="000000"/>
          <w:szCs w:val="20"/>
          <w:shd w:val="clear" w:color="auto" w:fill="FFFFFF"/>
          <w:lang w:val="x-none" w:eastAsia="en-US" w:bidi="ar-SA"/>
        </w:rPr>
        <w:tab/>
        <w:t> odległość (dojście) do Szkoły Podstawowej nr 170 w Zespole Szkolno-Przedszkolnym nr 9 w Łodzi przy ulicy Miedzianej 1/3, mogącej przyjąć nie mniej niż 7% planowanych mieszkańców inwestycji, wynosi nie więcej niż 1000 m (około 872 m), co potwierdza zaświadczenie z 14.07.2025 r., wydane zgodnie z art. 17 ust. 3 specustawy;</w:t>
      </w:r>
    </w:p>
    <w:p w:rsidR="002602E5" w:rsidRDefault="002957DC">
      <w:pPr>
        <w:tabs>
          <w:tab w:val="left" w:pos="855"/>
        </w:tabs>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3)</w:t>
      </w:r>
      <w:r>
        <w:rPr>
          <w:color w:val="000000"/>
          <w:szCs w:val="20"/>
          <w:shd w:val="clear" w:color="auto" w:fill="FFFFFF"/>
          <w:lang w:val="x-none" w:eastAsia="en-US" w:bidi="ar-SA"/>
        </w:rPr>
        <w:tab/>
        <w:t>zgodnie z art. 17 ust. 4 w związku z art. 19 specustawy i lokalnymi standardami urbanistycznymi, inwestycja jest zlokalizowana w odległości okoł</w:t>
      </w:r>
      <w:r>
        <w:rPr>
          <w:color w:val="000000"/>
          <w:szCs w:val="20"/>
          <w:shd w:val="clear" w:color="auto" w:fill="FFFFFF"/>
          <w:lang w:val="it-IT" w:eastAsia="it-IT" w:bidi="it-IT"/>
        </w:rPr>
        <w:t xml:space="preserve">o </w:t>
      </w:r>
      <w:r>
        <w:rPr>
          <w:color w:val="000000"/>
          <w:szCs w:val="20"/>
          <w:shd w:val="clear" w:color="auto" w:fill="FFFFFF"/>
          <w:lang w:val="x-none" w:eastAsia="en-US" w:bidi="ar-SA"/>
        </w:rPr>
        <w:t>156 m od Parku Źródliska II o powierzchni ok. 6,27 ha, czyli w odległości mniejszej niż 1000 m  od urządzonych terenów wypoczynku oraz rekreacji lub sportu, o powierzchni stanowiącej co najmniej iloczyn planowanej liczby mieszkańców (maksymalnie 112 mieszkańców) oraz wskaźnika wynoszącego 4 m</w:t>
      </w:r>
      <w:r>
        <w:rPr>
          <w:color w:val="000000"/>
          <w:szCs w:val="20"/>
          <w:shd w:val="clear" w:color="auto" w:fill="FFFFFF"/>
          <w:vertAlign w:val="superscript"/>
          <w:lang w:val="x-none" w:eastAsia="en-US" w:bidi="ar-SA"/>
        </w:rPr>
        <w:t>2</w:t>
      </w:r>
      <w:r>
        <w:rPr>
          <w:color w:val="000000"/>
          <w:szCs w:val="20"/>
          <w:shd w:val="clear" w:color="auto" w:fill="FFFFFF"/>
          <w:lang w:val="x-none" w:eastAsia="en-US" w:bidi="ar-SA"/>
        </w:rPr>
        <w:t>, czyli 448 m</w:t>
      </w:r>
      <w:r>
        <w:rPr>
          <w:color w:val="000000"/>
          <w:szCs w:val="20"/>
          <w:shd w:val="clear" w:color="auto" w:fill="FFFFFF"/>
          <w:vertAlign w:val="superscript"/>
          <w:lang w:val="x-none" w:eastAsia="en-US" w:bidi="ar-SA"/>
        </w:rPr>
        <w:t>2</w:t>
      </w:r>
      <w:r>
        <w:rPr>
          <w:color w:val="000000"/>
          <w:szCs w:val="20"/>
          <w:shd w:val="clear" w:color="auto" w:fill="FFFFFF"/>
          <w:lang w:val="x-none" w:eastAsia="en-US" w:bidi="ar-SA"/>
        </w:rPr>
        <w:t>;</w:t>
      </w:r>
    </w:p>
    <w:p w:rsidR="002602E5" w:rsidRDefault="002957DC">
      <w:pPr>
        <w:tabs>
          <w:tab w:val="left" w:pos="855"/>
        </w:tabs>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4)</w:t>
      </w:r>
      <w:r>
        <w:rPr>
          <w:color w:val="000000"/>
          <w:szCs w:val="20"/>
          <w:shd w:val="clear" w:color="auto" w:fill="FFFFFF"/>
          <w:lang w:val="x-none" w:eastAsia="en-US" w:bidi="ar-SA"/>
        </w:rPr>
        <w:tab/>
        <w:t>zgodnie z art. 17 ust. 4a  w związku z art. 17 ust. 4b pkt 2 specustawy - zapewnienie minimalnego udziału ogólnodostępnego, nieogrodzonego, urządzonego terenu wypoczynku oraz rekreacji lub sportu w ramach powierzchni biologicznie czynnej - nie dotyczy; teren inwestycji położony w obszarze zabudowy śródmiejskiej zgodnie z ustaleniami mpzp;</w:t>
      </w:r>
    </w:p>
    <w:p w:rsidR="002602E5" w:rsidRDefault="002957DC">
      <w:pPr>
        <w:tabs>
          <w:tab w:val="left" w:pos="855"/>
        </w:tabs>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5)</w:t>
      </w:r>
      <w:r>
        <w:rPr>
          <w:color w:val="000000"/>
          <w:szCs w:val="20"/>
          <w:shd w:val="clear" w:color="auto" w:fill="FFFFFF"/>
          <w:lang w:val="x-none" w:eastAsia="en-US" w:bidi="ar-SA"/>
        </w:rPr>
        <w:tab/>
        <w:t>zgodnie z art. 17 ust 4d pkt 1 specustawy minimalny udział powierzchni biologicznie czynnej w obszarze zabudowy śródmiejskiej wyniesie nie mniej niż 12,5% powierzchni terenu inwestycji - wg wniosku i projektu uchwały minimum 12,5%;</w:t>
      </w:r>
    </w:p>
    <w:p w:rsidR="002602E5" w:rsidRDefault="002957DC">
      <w:pPr>
        <w:tabs>
          <w:tab w:val="left" w:pos="855"/>
        </w:tabs>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6)</w:t>
      </w:r>
      <w:r>
        <w:rPr>
          <w:color w:val="000000"/>
          <w:szCs w:val="20"/>
          <w:shd w:val="clear" w:color="auto" w:fill="FFFFFF"/>
          <w:lang w:val="x-none" w:eastAsia="en-US" w:bidi="ar-SA"/>
        </w:rPr>
        <w:tab/>
        <w:t>zgodnie z art. 17 ust. 6 w związku z art. 19 specustawy i lokalnymi standardami urbanistycznymi, projektowany budynek będzie miał nie więcej niż 7 kondygnacji nadziemnych;</w:t>
      </w:r>
    </w:p>
    <w:p w:rsidR="002602E5" w:rsidRDefault="002957DC">
      <w:pPr>
        <w:tabs>
          <w:tab w:val="left" w:pos="855"/>
        </w:tabs>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7)</w:t>
      </w:r>
      <w:r>
        <w:rPr>
          <w:color w:val="000000"/>
          <w:szCs w:val="20"/>
          <w:shd w:val="clear" w:color="auto" w:fill="FFFFFF"/>
          <w:lang w:val="x-none" w:eastAsia="en-US" w:bidi="ar-SA"/>
        </w:rPr>
        <w:tab/>
        <w:t>zgodnie z art. 19 ust. 3 specustawy i lokalnymi standardami urbanistycznymi:</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a) inwestycja ma zapewniony dostęp do sieci ciepłowniczej zgodnie z informacją o technicznej możliwości podłączenia do Ciepła Systemowego planowanej inwestycji nr VECP/HRSR/BS/3430/2024 z dnia 17.04.2025 r., wydaną przez VEOLIA ENERGIA ŁÓDŹ S.A.,</w:t>
      </w:r>
    </w:p>
    <w:p w:rsidR="002602E5" w:rsidRDefault="002957DC">
      <w:pPr>
        <w:spacing w:before="120" w:after="120"/>
        <w:ind w:firstLine="510"/>
        <w:rPr>
          <w:color w:val="000000"/>
          <w:szCs w:val="20"/>
          <w:shd w:val="clear" w:color="auto" w:fill="FFFFFF"/>
          <w:lang w:val="x-none" w:eastAsia="en-US" w:bidi="ar-SA"/>
        </w:rPr>
      </w:pPr>
      <w:r>
        <w:rPr>
          <w:color w:val="000000"/>
          <w:szCs w:val="20"/>
          <w:shd w:val="clear" w:color="auto" w:fill="FFFFFF"/>
          <w:lang w:val="x-none" w:eastAsia="en-US" w:bidi="ar-SA"/>
        </w:rPr>
        <w:t>b) zapewniono niezbędną minimalną liczbę miejsc parkingowych dla obsługi inwestycji mieszkaniowej nie mniejszą niż minimalny wskaźnik 0,7 miejsca parkingowego na lokal mieszkalny oraz 1,5 miejsca parkingowego na każde rozpoczęte 100 m</w:t>
      </w:r>
      <w:r>
        <w:rPr>
          <w:color w:val="000000"/>
          <w:szCs w:val="20"/>
          <w:shd w:val="clear" w:color="auto" w:fill="FFFFFF"/>
          <w:vertAlign w:val="superscript"/>
          <w:lang w:val="x-none" w:eastAsia="en-US" w:bidi="ar-SA"/>
        </w:rPr>
        <w:t xml:space="preserve">2 </w:t>
      </w:r>
      <w:r>
        <w:rPr>
          <w:color w:val="000000"/>
          <w:szCs w:val="20"/>
          <w:shd w:val="clear" w:color="auto" w:fill="FFFFFF"/>
          <w:lang w:val="x-none" w:eastAsia="en-US" w:bidi="ar-SA"/>
        </w:rPr>
        <w:t>powierzchni użytkowej części budynku stanowiącego inwestycję mieszkaniową, przeznaczonego na działalność handlową lub usługową, dla pozostałej części Strefy Wielkomiejskiej, tj. zastosowano wskaźnik 1 miejsce parkingowe na lokal mieszkalny i 1,5 miejsca parkingowe</w:t>
      </w:r>
      <w:r>
        <w:rPr>
          <w:color w:val="000000"/>
          <w:szCs w:val="20"/>
          <w:shd w:val="clear" w:color="auto" w:fill="FFFFFF"/>
        </w:rPr>
        <w:t>go</w:t>
      </w:r>
      <w:r>
        <w:rPr>
          <w:color w:val="000000"/>
          <w:szCs w:val="20"/>
          <w:shd w:val="clear" w:color="auto" w:fill="FFFFFF"/>
          <w:lang w:val="x-none" w:eastAsia="en-US" w:bidi="ar-SA"/>
        </w:rPr>
        <w:t xml:space="preserve"> na każde rozpoczęte 100 m</w:t>
      </w:r>
      <w:r>
        <w:rPr>
          <w:color w:val="000000"/>
          <w:szCs w:val="20"/>
          <w:shd w:val="clear" w:color="auto" w:fill="FFFFFF"/>
          <w:vertAlign w:val="superscript"/>
          <w:lang w:val="x-none" w:eastAsia="en-US" w:bidi="ar-SA"/>
        </w:rPr>
        <w:t xml:space="preserve">2 </w:t>
      </w:r>
      <w:r>
        <w:rPr>
          <w:color w:val="000000"/>
          <w:szCs w:val="20"/>
          <w:shd w:val="clear" w:color="auto" w:fill="FFFFFF"/>
          <w:lang w:val="x-none" w:eastAsia="en-US" w:bidi="ar-SA"/>
        </w:rPr>
        <w:t>powierzchni użytkowej części budynku stanowiącego inwestycję mieszkaniową, przeznaczonego na działalność handlową lub usługową, w sumie zapewniając, zgodnie z wnioskiem i koncepcją urbanistyczno-architektoniczną, 61 miejsc parkingowych dla obsługi mieszkań oraz 3 miejsca parkingowe dla obsługi handlu i usług.</w:t>
      </w:r>
    </w:p>
    <w:p w:rsidR="002602E5" w:rsidRDefault="002957DC">
      <w:pPr>
        <w:spacing w:before="120" w:after="120"/>
        <w:ind w:firstLine="510"/>
        <w:rPr>
          <w:color w:val="000000"/>
          <w:sz w:val="23"/>
          <w:szCs w:val="20"/>
          <w:shd w:val="clear" w:color="auto" w:fill="FFFFFF"/>
          <w:lang w:val="x-none" w:eastAsia="en-US" w:bidi="ar-SA"/>
        </w:rPr>
      </w:pPr>
      <w:r>
        <w:rPr>
          <w:color w:val="000000"/>
          <w:szCs w:val="20"/>
          <w:shd w:val="clear" w:color="auto" w:fill="FFFFFF"/>
          <w:lang w:val="x-none" w:eastAsia="en-US" w:bidi="ar-SA"/>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shd w:val="clear" w:color="auto" w:fill="FFFFFF"/>
          <w:lang w:val="x-none" w:eastAsia="en-US" w:bidi="ar-SA"/>
        </w:rPr>
        <w:t>Projektowana inwestycja nie jest zlokalizowana w odległości, o której mowa w art. 5 ust. 3a specustawy, nie jest także zlokalizowana w granicach Parku Kulturowego.</w:t>
      </w:r>
    </w:p>
    <w:p w:rsidR="002602E5" w:rsidRDefault="002957DC">
      <w:pPr>
        <w:spacing w:before="120" w:after="120"/>
        <w:ind w:firstLine="510"/>
        <w:rPr>
          <w:szCs w:val="20"/>
          <w:shd w:val="clear" w:color="auto" w:fill="FFFFFF"/>
          <w:lang w:val="x-none" w:eastAsia="en-US" w:bidi="ar-SA"/>
        </w:rPr>
      </w:pPr>
      <w:r>
        <w:rPr>
          <w:szCs w:val="20"/>
          <w:shd w:val="clear" w:color="auto" w:fill="FFFFFF"/>
          <w:lang w:val="x-none" w:eastAsia="en-US" w:bidi="ar-SA"/>
        </w:rPr>
        <w:t>Zgodnie z art. 7 ust. 4 specustawy, 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r>
        <w:rPr>
          <w:szCs w:val="20"/>
          <w:shd w:val="clear" w:color="auto" w:fill="FFFFFF"/>
        </w:rPr>
        <w:t xml:space="preserve">. Z uwagi na pozytywne </w:t>
      </w:r>
      <w:r>
        <w:rPr>
          <w:color w:val="000000"/>
          <w:szCs w:val="20"/>
          <w:shd w:val="clear" w:color="auto" w:fill="FFFFFF"/>
          <w:lang w:val="x-none" w:eastAsia="en-US" w:bidi="ar-SA"/>
        </w:rPr>
        <w:t>stanowiska</w:t>
      </w:r>
      <w:r>
        <w:rPr>
          <w:szCs w:val="20"/>
          <w:shd w:val="clear" w:color="auto" w:fill="FFFFFF"/>
        </w:rPr>
        <w:t xml:space="preserve"> </w:t>
      </w:r>
      <w:r>
        <w:rPr>
          <w:szCs w:val="20"/>
          <w:shd w:val="clear" w:color="auto" w:fill="FFFFFF"/>
          <w:lang w:val="x-none" w:eastAsia="en-US" w:bidi="ar-SA"/>
        </w:rPr>
        <w:t>organów i instytucji opiniujących i uzgadniających wniosek</w:t>
      </w:r>
      <w:r>
        <w:rPr>
          <w:szCs w:val="20"/>
          <w:shd w:val="clear" w:color="auto" w:fill="FFFFFF"/>
        </w:rPr>
        <w:t>, z wyłączeniem opinii Zarządu Województwa Łódzkiego,</w:t>
      </w:r>
      <w:r>
        <w:rPr>
          <w:szCs w:val="20"/>
          <w:shd w:val="clear" w:color="auto" w:fill="FFFFFF"/>
          <w:lang w:val="x-none" w:eastAsia="en-US" w:bidi="ar-SA"/>
        </w:rPr>
        <w:t xml:space="preserve"> oraz brak uwag do wniosku publikowanego na stronie podmiotowej Biuletynu Informacji Publicznej Urzędu Miasta Łodzi, uznaje się za zasadne podjęcie uchwał</w:t>
      </w:r>
      <w:r>
        <w:rPr>
          <w:szCs w:val="20"/>
          <w:shd w:val="clear" w:color="auto" w:fill="FFFFFF"/>
          <w:lang w:val="en-US" w:eastAsia="en-US" w:bidi="en-US"/>
        </w:rPr>
        <w:t>y o</w:t>
      </w:r>
      <w:r>
        <w:rPr>
          <w:szCs w:val="20"/>
          <w:shd w:val="clear" w:color="auto" w:fill="FFFFFF"/>
          <w:lang w:val="x-none" w:eastAsia="en-US" w:bidi="ar-SA"/>
        </w:rPr>
        <w:t> ustaleniu lokalizacji inwestycji mieszkaniowej zgodnie z parametrami i warunkami określonymi wnioskiem.</w:t>
      </w:r>
    </w:p>
    <w:p w:rsidR="002602E5" w:rsidRDefault="002602E5">
      <w:pPr>
        <w:spacing w:before="120" w:after="120"/>
        <w:rPr>
          <w:color w:val="F00000"/>
          <w:szCs w:val="20"/>
          <w:shd w:val="clear" w:color="auto" w:fill="FFFFFF"/>
          <w:lang w:val="x-none" w:eastAsia="en-US" w:bidi="ar-SA"/>
        </w:rPr>
      </w:pPr>
    </w:p>
    <w:sectPr w:rsidR="002602E5">
      <w:footerReference w:type="default" r:id="rId21"/>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DC" w:rsidRDefault="002957DC">
      <w:r>
        <w:separator/>
      </w:r>
    </w:p>
  </w:endnote>
  <w:endnote w:type="continuationSeparator" w:id="0">
    <w:p w:rsidR="002957DC" w:rsidRDefault="00295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imes New Roman Greek">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602E5">
      <w:tc>
        <w:tcPr>
          <w:tcW w:w="6048"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right"/>
            <w:rPr>
              <w:sz w:val="18"/>
            </w:rPr>
          </w:pPr>
          <w:r>
            <w:rPr>
              <w:sz w:val="18"/>
            </w:rPr>
            <w:t xml:space="preserve">Strona </w:t>
          </w:r>
          <w:r>
            <w:rPr>
              <w:sz w:val="18"/>
            </w:rPr>
            <w:fldChar w:fldCharType="begin"/>
          </w:r>
          <w:r>
            <w:rPr>
              <w:sz w:val="18"/>
            </w:rPr>
            <w:instrText>PAGE</w:instrText>
          </w:r>
          <w:r>
            <w:rPr>
              <w:sz w:val="18"/>
            </w:rPr>
            <w:fldChar w:fldCharType="separate"/>
          </w:r>
          <w:r w:rsidR="005647F0">
            <w:rPr>
              <w:noProof/>
              <w:sz w:val="18"/>
            </w:rPr>
            <w:t>1</w:t>
          </w:r>
          <w:r>
            <w:rPr>
              <w:sz w:val="18"/>
            </w:rPr>
            <w:fldChar w:fldCharType="end"/>
          </w:r>
        </w:p>
      </w:tc>
    </w:tr>
  </w:tbl>
  <w:p w:rsidR="002602E5" w:rsidRDefault="002602E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602E5">
      <w:tc>
        <w:tcPr>
          <w:tcW w:w="6048"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right"/>
            <w:rPr>
              <w:sz w:val="18"/>
            </w:rPr>
          </w:pPr>
          <w:r>
            <w:rPr>
              <w:sz w:val="18"/>
            </w:rPr>
            <w:t xml:space="preserve">Strona </w:t>
          </w:r>
          <w:r>
            <w:rPr>
              <w:sz w:val="18"/>
            </w:rPr>
            <w:fldChar w:fldCharType="begin"/>
          </w:r>
          <w:r>
            <w:rPr>
              <w:sz w:val="18"/>
            </w:rPr>
            <w:instrText>PAGE</w:instrText>
          </w:r>
          <w:r>
            <w:rPr>
              <w:sz w:val="18"/>
            </w:rPr>
            <w:fldChar w:fldCharType="separate"/>
          </w:r>
          <w:r w:rsidR="005647F0">
            <w:rPr>
              <w:noProof/>
              <w:sz w:val="18"/>
            </w:rPr>
            <w:t>3</w:t>
          </w:r>
          <w:r>
            <w:rPr>
              <w:sz w:val="18"/>
            </w:rPr>
            <w:fldChar w:fldCharType="end"/>
          </w:r>
        </w:p>
      </w:tc>
    </w:tr>
  </w:tbl>
  <w:p w:rsidR="002602E5" w:rsidRDefault="002602E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602E5">
      <w:tc>
        <w:tcPr>
          <w:tcW w:w="6048"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right"/>
            <w:rPr>
              <w:sz w:val="18"/>
            </w:rPr>
          </w:pPr>
          <w:r>
            <w:rPr>
              <w:sz w:val="18"/>
            </w:rPr>
            <w:t xml:space="preserve">Strona </w:t>
          </w:r>
          <w:r>
            <w:rPr>
              <w:sz w:val="18"/>
            </w:rPr>
            <w:fldChar w:fldCharType="begin"/>
          </w:r>
          <w:r>
            <w:rPr>
              <w:sz w:val="18"/>
            </w:rPr>
            <w:instrText>PAGE</w:instrText>
          </w:r>
          <w:r>
            <w:rPr>
              <w:sz w:val="18"/>
            </w:rPr>
            <w:fldChar w:fldCharType="separate"/>
          </w:r>
          <w:r w:rsidR="005647F0">
            <w:rPr>
              <w:noProof/>
              <w:sz w:val="18"/>
            </w:rPr>
            <w:t>3</w:t>
          </w:r>
          <w:r>
            <w:rPr>
              <w:sz w:val="18"/>
            </w:rPr>
            <w:fldChar w:fldCharType="end"/>
          </w:r>
        </w:p>
      </w:tc>
    </w:tr>
  </w:tbl>
  <w:p w:rsidR="002602E5" w:rsidRDefault="002602E5">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2602E5">
      <w:tc>
        <w:tcPr>
          <w:tcW w:w="6403"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rsidR="002602E5" w:rsidRDefault="002957DC">
          <w:pPr>
            <w:jc w:val="right"/>
            <w:rPr>
              <w:sz w:val="18"/>
            </w:rPr>
          </w:pPr>
          <w:r>
            <w:rPr>
              <w:sz w:val="18"/>
            </w:rPr>
            <w:t xml:space="preserve">Strona </w:t>
          </w:r>
          <w:r>
            <w:rPr>
              <w:sz w:val="18"/>
            </w:rPr>
            <w:fldChar w:fldCharType="begin"/>
          </w:r>
          <w:r>
            <w:rPr>
              <w:sz w:val="18"/>
            </w:rPr>
            <w:instrText>PAGE</w:instrText>
          </w:r>
          <w:r>
            <w:rPr>
              <w:sz w:val="18"/>
            </w:rPr>
            <w:fldChar w:fldCharType="separate"/>
          </w:r>
          <w:r w:rsidR="005647F0">
            <w:rPr>
              <w:noProof/>
              <w:sz w:val="18"/>
            </w:rPr>
            <w:t>8</w:t>
          </w:r>
          <w:r>
            <w:rPr>
              <w:sz w:val="18"/>
            </w:rPr>
            <w:fldChar w:fldCharType="end"/>
          </w:r>
        </w:p>
      </w:tc>
    </w:tr>
  </w:tbl>
  <w:p w:rsidR="002602E5" w:rsidRDefault="002602E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DC" w:rsidRDefault="002957DC">
      <w:r>
        <w:separator/>
      </w:r>
    </w:p>
  </w:footnote>
  <w:footnote w:type="continuationSeparator" w:id="0">
    <w:p w:rsidR="002957DC" w:rsidRDefault="002957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602E5"/>
    <w:rsid w:val="00261CF1"/>
    <w:rsid w:val="002957DC"/>
    <w:rsid w:val="005647F0"/>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976A5C2-079B-4675-8ED9-14168AA5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basedOn w:val="Normalny"/>
    <w:pPr>
      <w:jc w:val="left"/>
    </w:pPr>
    <w:rPr>
      <w:rFonts w:ascii="Arial" w:hAnsi="Arial"/>
      <w:color w:val="000000"/>
      <w:szCs w:val="20"/>
      <w:lang w:val="x-non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C02DE61E-48B0-42E1-952A-1CB8EEEEFAEC.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549CA07F-E67A-4705-A8EA-0AE6F6F9D7A1.png" TargetMode="External"/><Relationship Id="rId17" Type="http://schemas.openxmlformats.org/officeDocument/2006/relationships/image" Target="ZalacznikCCD2A4A6-0281-47C6-8C6E-4FB269D33137.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5D657BF6-AD99-410D-AEEA-B07738D7CD00.png" TargetMode="External"/><Relationship Id="rId23" Type="http://schemas.openxmlformats.org/officeDocument/2006/relationships/theme" Target="theme/theme1.xml"/><Relationship Id="rId10" Type="http://schemas.openxmlformats.org/officeDocument/2006/relationships/image" Target="Zalacznik4B24827B-33F0-4DDC-AA6B-2874D743FC3F.png" TargetMode="External"/><Relationship Id="rId19" Type="http://schemas.openxmlformats.org/officeDocument/2006/relationships/image" Target="Zalacznik1A7896FB-B90A-4731-B960-4028BB17D510.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3851</Words>
  <Characters>23594</Characters>
  <Application>Microsoft Office Word</Application>
  <DocSecurity>0</DocSecurity>
  <Lines>196</Lines>
  <Paragraphs>54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27391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ulicy Targowej 55 w Łodzi.</dc:subject>
  <dc:creator>ksudaj</dc:creator>
  <cp:lastModifiedBy>Violetta Gandziarska</cp:lastModifiedBy>
  <cp:revision>2</cp:revision>
  <dcterms:created xsi:type="dcterms:W3CDTF">2026-01-27T09:47:00Z</dcterms:created>
  <dcterms:modified xsi:type="dcterms:W3CDTF">2026-01-27T09:47:00Z</dcterms:modified>
  <cp:category>Akt prawny</cp:category>
</cp:coreProperties>
</file>