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B3E" w:rsidRDefault="00141EAF" w:rsidP="00922F44">
      <w:pPr>
        <w:ind w:left="6096"/>
        <w:jc w:val="left"/>
      </w:pPr>
      <w:r>
        <w:t xml:space="preserve">Druk Nr  </w:t>
      </w:r>
      <w:r w:rsidR="00922F44">
        <w:t>25/2026</w:t>
      </w:r>
    </w:p>
    <w:p w:rsidR="00A77B3E" w:rsidRDefault="00141EAF" w:rsidP="00922F44">
      <w:pPr>
        <w:ind w:left="6096"/>
        <w:jc w:val="left"/>
      </w:pPr>
      <w:r>
        <w:t xml:space="preserve">Projekt z dnia </w:t>
      </w:r>
      <w:r w:rsidR="00922F44">
        <w:t>4 lutego 2026 r.</w:t>
      </w:r>
    </w:p>
    <w:p w:rsidR="00A77B3E" w:rsidRDefault="00A77B3E">
      <w:pPr>
        <w:ind w:left="6236"/>
        <w:jc w:val="left"/>
      </w:pPr>
    </w:p>
    <w:p w:rsidR="00A77B3E" w:rsidRDefault="00141EAF">
      <w:pPr>
        <w:jc w:val="center"/>
        <w:rPr>
          <w:b/>
          <w:caps/>
        </w:rPr>
      </w:pPr>
      <w:r>
        <w:rPr>
          <w:b/>
          <w:caps/>
        </w:rPr>
        <w:t>Uchwała nr ^^^^^^^^^^^^^^^^^^^^</w:t>
      </w:r>
      <w:r>
        <w:rPr>
          <w:b/>
          <w:caps/>
        </w:rPr>
        <w:br/>
        <w:t>Rady Miejskiej w Łodzi</w:t>
      </w:r>
    </w:p>
    <w:p w:rsidR="00A77B3E" w:rsidRDefault="00141EAF">
      <w:pPr>
        <w:spacing w:after="240"/>
        <w:jc w:val="center"/>
        <w:rPr>
          <w:b/>
          <w:caps/>
        </w:rPr>
      </w:pPr>
      <w:bookmarkStart w:id="0" w:name="_GoBack"/>
      <w:bookmarkEnd w:id="0"/>
      <w:r>
        <w:rPr>
          <w:b/>
        </w:rPr>
        <w:t>z dnia .................... .... r.</w:t>
      </w:r>
    </w:p>
    <w:p w:rsidR="00A77B3E" w:rsidRDefault="00141EAF">
      <w:pPr>
        <w:keepNext/>
        <w:spacing w:after="480"/>
        <w:jc w:val="center"/>
      </w:pPr>
      <w:r>
        <w:rPr>
          <w:b/>
        </w:rPr>
        <w:t xml:space="preserve">w sprawie uchwalenia miejscowego planu zagospodarowania przestrzennego dla części obszaru miasta Łodzi położonej w rejonie alei Rodziny </w:t>
      </w:r>
      <w:r>
        <w:rPr>
          <w:b/>
        </w:rPr>
        <w:t>Grohmanów oraz ulic: Wysokiej, Juliana Tuwima i Wodnej.</w:t>
      </w:r>
    </w:p>
    <w:p w:rsidR="00A77B3E" w:rsidRDefault="00141EAF">
      <w:pPr>
        <w:spacing w:before="120" w:after="120"/>
        <w:ind w:firstLine="567"/>
      </w:pPr>
      <w:r>
        <w:t>Na podstawie art. 18 ust. 2 pkt 5 i art. 40 ust. 1 ustawy z dnia 8 marca 1990 r. o samorządzie gminnym (Dz. U. z 2025 r. poz. 1153 i 1436) oraz art. 14 ust. 8 i art. 20 ust. 1 ustawy z dnia 27 marca 2</w:t>
      </w:r>
      <w:r>
        <w:t>003 r. o planowaniu i zagospodarowaniu przestrzennym (Dz. U. z 2024 r. poz. 1130, 1907 i 1940 oraz z 2025 r. poz. 527, 680, 1668 i 1847 oraz z 2026 r. poz. 24), w związku z art. 67 ust. 3 pkt 2 ustawy z dnia 7 lipca 2023 r. o zmianie ustawy o planowaniu i </w:t>
      </w:r>
      <w:r>
        <w:t>zagospodarowaniu przestrzennym oraz niektórych innych ustaw (Dz. U. poz. 1688, z 2024 r. poz. 1824 oraz z 2025 r. poz. 527, 1543 i 1668), Rada Miejska w Łodzi</w:t>
      </w:r>
    </w:p>
    <w:p w:rsidR="00A77B3E" w:rsidRDefault="00141EAF">
      <w:pPr>
        <w:spacing w:before="280" w:after="280"/>
        <w:jc w:val="center"/>
        <w:rPr>
          <w:b/>
        </w:rPr>
      </w:pPr>
      <w:r>
        <w:rPr>
          <w:b/>
        </w:rPr>
        <w:t>uchwala, co następuje:</w:t>
      </w:r>
    </w:p>
    <w:p w:rsidR="00A77B3E" w:rsidRDefault="00141EAF">
      <w:pPr>
        <w:keepNext/>
        <w:spacing w:before="480" w:after="480"/>
        <w:jc w:val="center"/>
      </w:pPr>
      <w:r>
        <w:rPr>
          <w:b/>
        </w:rPr>
        <w:t>Rozdział 1</w:t>
      </w:r>
      <w:r>
        <w:rPr>
          <w:b/>
        </w:rPr>
        <w:br/>
        <w:t>Przepisy ogólne</w:t>
      </w:r>
    </w:p>
    <w:p w:rsidR="00A77B3E" w:rsidRDefault="00141EAF">
      <w:pPr>
        <w:keepLines/>
        <w:spacing w:before="240"/>
        <w:ind w:firstLine="567"/>
        <w:rPr>
          <w:color w:val="000000"/>
          <w:u w:color="000000"/>
        </w:rPr>
      </w:pPr>
      <w:r>
        <w:t>§ 1. 1. </w:t>
      </w:r>
      <w:r>
        <w:t>Przedmiotem uchwały są ustalenia miejsc</w:t>
      </w:r>
      <w:r>
        <w:t>owego planu zagospodarowania przestrzennego dla części obszaru miasta Łodzi położonej w rejonie alei Rodziny Grohmanów oraz ulic: Wysokiej, Juliana Tuwima i Wodnej, zwanego dalej „planem”, wraz z integralnymi jej częściami w postaci: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rysunku planu w ska</w:t>
      </w:r>
      <w:r>
        <w:rPr>
          <w:color w:val="000000"/>
          <w:u w:color="000000"/>
        </w:rPr>
        <w:t>li 1:1000, stanowiącego załącznik Nr 1 do uchwały;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rozstrzygnięcia o sposobie rozpatrzenia uwag do projektu planu, złożonych w trakcie konsultacji społecznych, stanowiącego załącznik Nr 2 do uchwały;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rozstrzygnięcia o sposobie realizacji, zapisanych </w:t>
      </w:r>
      <w:r>
        <w:rPr>
          <w:color w:val="000000"/>
          <w:u w:color="000000"/>
        </w:rPr>
        <w:t>w planie, inwestycji z zakresu infrastruktury technicznej, które należą do zadań własnych gminy oraz zasadach ich finansowania, zgodnie z przepisami o finansach publicznych, stanowiącego załącznik Nr 3 do uchwały.</w:t>
      </w:r>
    </w:p>
    <w:p w:rsidR="00A77B3E" w:rsidRDefault="00141EAF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Granice obszaru objętego planem określo</w:t>
      </w:r>
      <w:r>
        <w:rPr>
          <w:color w:val="000000"/>
          <w:u w:color="000000"/>
        </w:rPr>
        <w:t>no na rysunku planu, o którym mowa w ust. 1 pkt 1.</w:t>
      </w:r>
    </w:p>
    <w:p w:rsidR="00A77B3E" w:rsidRDefault="00141EAF">
      <w:pPr>
        <w:keepLines/>
        <w:spacing w:before="240"/>
        <w:ind w:firstLine="567"/>
        <w:rPr>
          <w:color w:val="000000"/>
          <w:u w:color="000000"/>
        </w:rPr>
      </w:pPr>
      <w:r>
        <w:t>§ 2. </w:t>
      </w:r>
      <w:r>
        <w:rPr>
          <w:color w:val="000000"/>
          <w:u w:color="000000"/>
        </w:rPr>
        <w:t>Stwierdza się, że plan nie narusza ustaleń „Studium uwarunkowań i kierunków zagospodarowania przestrzennego miasta Łodzi” uchwalonego uchwałą Nr LXIX/1753/18 Rady Miejskiej w Łodzi z dnia 28 marca 201</w:t>
      </w:r>
      <w:r>
        <w:rPr>
          <w:color w:val="000000"/>
          <w:u w:color="000000"/>
        </w:rPr>
        <w:t>8 r. zmienioną uchwałami Rady Miejskiej w Łodzi Nr VI/215/19 z dnia 6 marca 2019 r. i Nr LII/1605/21 z dnia 22 grudnia 2021 r.</w:t>
      </w:r>
    </w:p>
    <w:p w:rsidR="00A77B3E" w:rsidRDefault="00141EAF">
      <w:pPr>
        <w:keepLines/>
        <w:spacing w:before="240"/>
        <w:ind w:firstLine="567"/>
        <w:rPr>
          <w:color w:val="000000"/>
          <w:u w:color="000000"/>
        </w:rPr>
      </w:pPr>
      <w:r>
        <w:t>§ 3. </w:t>
      </w:r>
      <w:r>
        <w:rPr>
          <w:color w:val="000000"/>
          <w:u w:color="000000"/>
        </w:rPr>
        <w:t>Ze względu na brak podstaw wynikających ze stanu faktycznego, w planie nie określa się: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zasad ochrony dóbr kultury współc</w:t>
      </w:r>
      <w:r>
        <w:rPr>
          <w:color w:val="000000"/>
          <w:u w:color="000000"/>
        </w:rPr>
        <w:t>zesnej;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>granic i sposobów zagospodarowania terenów lub obiektów podlegających ochronie, na podstawie odrębnych przepisów, terenów górniczych, a także obszarów szczególnego zagrożenia powodzią, obszarów osuwania się mas ziemnych;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sposobu i terminu tym</w:t>
      </w:r>
      <w:r>
        <w:rPr>
          <w:color w:val="000000"/>
          <w:u w:color="000000"/>
        </w:rPr>
        <w:t>czasowego zagospodarowania, urządzania i użytkowania terenów.</w:t>
      </w:r>
    </w:p>
    <w:p w:rsidR="00A77B3E" w:rsidRDefault="00141EAF">
      <w:pPr>
        <w:keepLines/>
        <w:spacing w:before="240"/>
        <w:ind w:firstLine="567"/>
        <w:rPr>
          <w:color w:val="000000"/>
          <w:u w:color="000000"/>
        </w:rPr>
      </w:pPr>
      <w:r>
        <w:t>§ 4. 1. </w:t>
      </w:r>
      <w:r>
        <w:rPr>
          <w:color w:val="000000"/>
          <w:u w:color="000000"/>
        </w:rPr>
        <w:t>Określenia stosowane w uchwale należy rozumieć następująco: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dach płaski </w:t>
      </w:r>
      <w:r>
        <w:rPr>
          <w:b/>
          <w:color w:val="000000"/>
          <w:u w:color="000000"/>
        </w:rPr>
        <w:t xml:space="preserve">– </w:t>
      </w:r>
      <w:r>
        <w:rPr>
          <w:color w:val="000000"/>
          <w:u w:color="000000"/>
        </w:rPr>
        <w:t>dach o spadkach połaci do 15º;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detal architektoniczny – elementy występujące na powierzchni elewacji, </w:t>
      </w:r>
      <w:r>
        <w:rPr>
          <w:color w:val="000000"/>
          <w:u w:color="000000"/>
        </w:rPr>
        <w:t>których rozmieszczenie jest częścią jej układu kompozycyjnego, lub na powierzchni ścian i sufitu przejazdu bramowego, mające głównie funkcję dekoracyjną, w tym: gzymsy, pilastry, lizeny, kolumny, półkolumny, opaski okienne, płyciny, podokienniki, zwieńczen</w:t>
      </w:r>
      <w:r>
        <w:rPr>
          <w:color w:val="000000"/>
          <w:u w:color="000000"/>
        </w:rPr>
        <w:t>ia elewacji lub jej części, nadproża, naczółki, rzeźby, płaskorzeźby, ornamenty, fryzy, balustrady, a także wykończenie powierzchni w formie np.: okładzin, tynków strukturalnych, boniowania, muru ceglanego;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działka narożna – działka budowlana granicząca</w:t>
      </w:r>
      <w:r>
        <w:rPr>
          <w:color w:val="000000"/>
          <w:u w:color="000000"/>
        </w:rPr>
        <w:t xml:space="preserve"> z przestrzeniami publicznymi od co najmniej dwóch przyległych do siebie stron;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elewacja frontowa – elewacja budynku znajdująca się od strony przestrzeni publicznej, w tym zlokalizowanej poza granicami obszaru objętego planem;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front działki – odcinek</w:t>
      </w:r>
      <w:r>
        <w:rPr>
          <w:color w:val="000000"/>
          <w:u w:color="000000"/>
        </w:rPr>
        <w:t xml:space="preserve"> granicy działki budowlanej przylegającej do drogi publicznej, w tym zlokalizowanej poza granicami obszaru objętego planem, placu publicznego lub innego ciągu komunikacyjnego, z których odbywa się główny wjazd lub wejście na tę działkę;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infrastruktura t</w:t>
      </w:r>
      <w:r>
        <w:rPr>
          <w:color w:val="000000"/>
          <w:u w:color="000000"/>
        </w:rPr>
        <w:t>echniczna – przewody i urządzenia oraz obiekty budowlane: wodociągowe, kanalizacyjne, ciepłownicze, elektroenergetyczne, gazowe i telekomunikacyjne;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 xml:space="preserve">instalacja artystyczna </w:t>
      </w:r>
      <w:r>
        <w:rPr>
          <w:b/>
          <w:color w:val="000000"/>
          <w:u w:color="000000"/>
        </w:rPr>
        <w:t>–</w:t>
      </w:r>
      <w:r>
        <w:rPr>
          <w:color w:val="000000"/>
          <w:u w:color="000000"/>
        </w:rPr>
        <w:t xml:space="preserve"> konstrukcja przestrzenna realizowana w celu podniesienia estetyki miejsca;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l</w:t>
      </w:r>
      <w:r>
        <w:rPr>
          <w:color w:val="000000"/>
          <w:u w:color="000000"/>
        </w:rPr>
        <w:t>inia rozgraniczająca – wyznaczona na rysunku planu linia ciągła, stanowiąca granicę między terenami o różnym przeznaczeniu lub różnych zasadach zagospodarowania;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linia zabudowy nieprzekraczalna – wyznaczona na rysunku planu linia określająca część dział</w:t>
      </w:r>
      <w:r>
        <w:rPr>
          <w:color w:val="000000"/>
          <w:u w:color="000000"/>
        </w:rPr>
        <w:t>ki budowlanej, na której możliwe jest lokalizowanie budynków, z zakazem jej przekraczania, który to zakaz nie dotyczy: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elementów wejścia do budynku, takich jak: schody, pochylnia, podest, rampa, zadaszenie,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elementów nadwieszeń, takich jak: łącznik, </w:t>
      </w:r>
      <w:r>
        <w:rPr>
          <w:color w:val="000000"/>
          <w:u w:color="000000"/>
        </w:rPr>
        <w:t>balkon, wykusz, gzyms, okap dachu,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tarasów, werand i ogrodów zimowych,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podziemnych części budynku i urządzeń budowlanych związanych z budynkiem,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instalacji artystycznych,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 xml:space="preserve">zewnętrznych warstw izolacji termicznej, okładzin oraz zewnętrznych </w:t>
      </w:r>
      <w:r>
        <w:rPr>
          <w:color w:val="000000"/>
          <w:u w:color="000000"/>
        </w:rPr>
        <w:t>elementów komunikacji pionowej, takich jak klatki schodowe i szyby windowe – wyłącznie w przypadku budynków istniejących;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linia zabudowy obowiązująca – rodzaj linii zabudowy nieprzekraczalnej, wzdłuż której obowiązuje sytuowanie minimum 70% powierzchni</w:t>
      </w:r>
      <w:r>
        <w:rPr>
          <w:color w:val="000000"/>
          <w:u w:color="000000"/>
        </w:rPr>
        <w:t xml:space="preserve"> elewacji frontowej;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linia zabudowy pierzejowej – rodzaj linii zabudowy nieprzekraczalnej, wzdłuż której obowiązuje sytuowanie elewacji frontowej na całej jej długości, z dopuszczeniem niewypełniania całej długości linii w przypadku: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występowania ok</w:t>
      </w:r>
      <w:r>
        <w:rPr>
          <w:color w:val="000000"/>
          <w:u w:color="000000"/>
        </w:rPr>
        <w:t>ien lub drzwi w ścianie istniejącego budynku usytuowanej bezpośrednio przy granicy z sąsiednią działką budowlaną,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gdy procent długości tej linii, w jakim musi ona zostać wypełniona, jest określony w ustaleniach szczegółowych;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miejsce zmiany linii za</w:t>
      </w:r>
      <w:r>
        <w:rPr>
          <w:color w:val="000000"/>
          <w:u w:color="000000"/>
        </w:rPr>
        <w:t>budowy – wskazany na rysunku planu punkt, w którym następuje zmiana rodzaju linii zabudowy;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lastRenderedPageBreak/>
        <w:t>13) </w:t>
      </w:r>
      <w:r>
        <w:rPr>
          <w:color w:val="000000"/>
          <w:u w:color="000000"/>
        </w:rPr>
        <w:t>przepisy odrębne – przepisy prawa powszechnie obowiązującego, w szczególności ustawy i rozporządzenia, a także akty prawa miejscowego obowiązującego na obszarze</w:t>
      </w:r>
      <w:r>
        <w:rPr>
          <w:color w:val="000000"/>
          <w:u w:color="000000"/>
        </w:rPr>
        <w:t xml:space="preserve"> miasta Łodzi;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14) </w:t>
      </w:r>
      <w:r>
        <w:rPr>
          <w:color w:val="000000"/>
          <w:u w:color="000000"/>
        </w:rPr>
        <w:t>przeznaczenie terenu – obiekty budowlane i urządzenia budowlane oraz zagospodarowanie tworzące całość funkcjonalną, określone ustaleniami planu na danym terenie odpowiednio: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przeznaczenie podstawowe – przeznaczenie, które przeważa na </w:t>
      </w:r>
      <w:r>
        <w:rPr>
          <w:color w:val="000000"/>
          <w:u w:color="000000"/>
        </w:rPr>
        <w:t>danej działce, przy czym wymóg ten nie obowiązuje w przypadku realizacji dróg wewnętrznych, infrastruktury technicznej i wód powierzchniowych,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przeznaczenie uzupełniające – przeznaczenie, które uzupełnia przeznaczenie podstawowe na danej działce, a w pr</w:t>
      </w:r>
      <w:r>
        <w:rPr>
          <w:color w:val="000000"/>
          <w:u w:color="000000"/>
        </w:rPr>
        <w:t>zypadku dróg wewnętrznych, infrastruktury technicznej i wód powierzchniowych – przeznaczenie, które uzupełnia przeznaczenie podstawowe w danym terenie,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przeznaczenie dopuszczalne – przeznaczenie, które określa sposób wykorzystania działki do czasu reali</w:t>
      </w:r>
      <w:r>
        <w:rPr>
          <w:color w:val="000000"/>
          <w:u w:color="000000"/>
        </w:rPr>
        <w:t>zacji przeznaczenia podstawowego, podnoszące przejściowo walory estetyczno-użytkowe przestrzeni;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15) </w:t>
      </w:r>
      <w:r>
        <w:rPr>
          <w:color w:val="000000"/>
          <w:u w:color="000000"/>
        </w:rPr>
        <w:t xml:space="preserve">system NCS – system opisu barw publikowany w formie wzorników kolorów; oznaczenie koloru składa się z: napisu „NCS S”, czterech cyfr, z których pierwsze </w:t>
      </w:r>
      <w:r>
        <w:rPr>
          <w:color w:val="000000"/>
          <w:u w:color="000000"/>
        </w:rPr>
        <w:t>dwie oznaczają procentową zawartość czerni, kolejne dwie – poziom chromatyczności oraz, po myślniku, symbolu koloru oznaczającego procentową zawartość kolorów (żółtego – Y, czerwonego – R, niebieskiego – B, zielonego – G) lub kolor neutralny – N;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16) </w:t>
      </w:r>
      <w:r>
        <w:rPr>
          <w:color w:val="000000"/>
          <w:u w:color="000000"/>
        </w:rPr>
        <w:t>syste</w:t>
      </w:r>
      <w:r>
        <w:rPr>
          <w:color w:val="000000"/>
          <w:u w:color="000000"/>
        </w:rPr>
        <w:t>m RAL – system opisu barw w formie wzorników kolorów; oznaczenie koloru składa się z napisu „RAL” oraz czterech cyfr, z których pierwsze dwie oznaczają przynależność koloru do umownie określonych grup odcieni (np. RAL10xx – grupa odcieni żółtych, RAL90xx –</w:t>
      </w:r>
      <w:r>
        <w:rPr>
          <w:color w:val="000000"/>
          <w:u w:color="000000"/>
        </w:rPr>
        <w:t xml:space="preserve"> grupa odcieni białych i czarnych);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17) </w:t>
      </w:r>
      <w:r>
        <w:rPr>
          <w:color w:val="000000"/>
          <w:u w:color="000000"/>
        </w:rPr>
        <w:t>teren – wydzielone liniami rozgraniczającymi nieruchomości lub ich części, oznaczone numerem i symbolem;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18) </w:t>
      </w:r>
      <w:r>
        <w:rPr>
          <w:color w:val="000000"/>
          <w:u w:color="000000"/>
        </w:rPr>
        <w:t>uchwała – niniejsza uchwała Rady Miejskiej w Łodzi;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19) </w:t>
      </w:r>
      <w:r>
        <w:rPr>
          <w:color w:val="000000"/>
          <w:u w:color="000000"/>
        </w:rPr>
        <w:t>układ kompozycyjny elewacji – rozmieszczenie elemen</w:t>
      </w:r>
      <w:r>
        <w:rPr>
          <w:color w:val="000000"/>
          <w:u w:color="000000"/>
        </w:rPr>
        <w:t>tów na elewacji, tworzące jej podziały i proporcje, w tym usytuowanie: pionowych osi otworów okiennych i drzwiowych, wykuszy, ryzalitów, balkonów, loggii;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20) </w:t>
      </w:r>
      <w:r>
        <w:rPr>
          <w:color w:val="000000"/>
          <w:u w:color="000000"/>
        </w:rPr>
        <w:t>usługi uciążliwe – działalność usługowa powodująca przekroczenie standardów i norm środowiskowych</w:t>
      </w:r>
      <w:r>
        <w:rPr>
          <w:color w:val="000000"/>
          <w:u w:color="000000"/>
        </w:rPr>
        <w:t xml:space="preserve"> obowiązujących dla przeznaczenia podstawowego terenu;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21) </w:t>
      </w:r>
      <w:r>
        <w:rPr>
          <w:color w:val="000000"/>
          <w:u w:color="000000"/>
        </w:rPr>
        <w:t>ustawa – ustawa z dnia 27 marca 2003 r. o planowaniu i zagospodarowaniu przestrzennym, o ile z treści planu nie wynika inaczej;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22) </w:t>
      </w:r>
      <w:r>
        <w:rPr>
          <w:color w:val="000000"/>
          <w:u w:color="000000"/>
        </w:rPr>
        <w:t xml:space="preserve">wysokość parteru elewacji frontowej – określony w metrach wymiar </w:t>
      </w:r>
      <w:r>
        <w:rPr>
          <w:color w:val="000000"/>
          <w:u w:color="000000"/>
        </w:rPr>
        <w:t>pionowy fragmentu elewacji frontowej mierzony od poziomu gruntu do poziomu spodu gzymsu lub innego poziomego zewnętrznego elementu architektonicznego oddzielającego nie więcej niż dwie najniższe kondygnacje nadziemne od kondygnacji wyższych;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23) </w:t>
      </w:r>
      <w:r>
        <w:rPr>
          <w:color w:val="000000"/>
          <w:u w:color="000000"/>
        </w:rPr>
        <w:t>zabudowa i</w:t>
      </w:r>
      <w:r>
        <w:rPr>
          <w:color w:val="000000"/>
          <w:u w:color="000000"/>
        </w:rPr>
        <w:t>stniejąca – budynki istniejące w dniu wejścia w życie planu, a także budynki posiadające w tej dacie prawo do realizacji na podstawie ostatecznej decyzji o pozwoleniu na budowę lub zgłoszenia, o którym mowa w przepisach odrębnych z zakresu prawa budowlaneg</w:t>
      </w:r>
      <w:r>
        <w:rPr>
          <w:color w:val="000000"/>
          <w:u w:color="000000"/>
        </w:rPr>
        <w:t>o;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24) </w:t>
      </w:r>
      <w:r>
        <w:rPr>
          <w:color w:val="000000"/>
          <w:u w:color="000000"/>
        </w:rPr>
        <w:t>zabudowa typu penthouse – część budynku zlokalizowana na najwyższej kondygnacji, której powierzchnia wynosi maksymalnie 50% powierzchni kondygnacji znajdującej się bezpośrednio poniżej;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25) </w:t>
      </w:r>
      <w:r>
        <w:rPr>
          <w:color w:val="000000"/>
          <w:u w:color="000000"/>
        </w:rPr>
        <w:t>zieleń – zieleń wysoka i niska m.in.: drzewa, krzewy, bylin</w:t>
      </w:r>
      <w:r>
        <w:rPr>
          <w:color w:val="000000"/>
          <w:u w:color="000000"/>
        </w:rPr>
        <w:t>y i trawniki, występująca w formie urządzonych parków, zieleńców bądź towarzysząca zabudowie lub komunikacji.</w:t>
      </w:r>
    </w:p>
    <w:p w:rsidR="00A77B3E" w:rsidRDefault="00141EAF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Określenia użyte w planie, a niezdefiniowane w ust. 1, dotyczące zagadnień przewidzianych ustawą lub przepisami odrębnymi przywołanymi w treści</w:t>
      </w:r>
      <w:r>
        <w:rPr>
          <w:color w:val="000000"/>
          <w:u w:color="000000"/>
        </w:rPr>
        <w:t xml:space="preserve"> uchwały, należy </w:t>
      </w:r>
      <w:r>
        <w:rPr>
          <w:color w:val="000000"/>
          <w:u w:color="000000"/>
        </w:rPr>
        <w:lastRenderedPageBreak/>
        <w:t>rozumieć w sposób określony w ustawie lub w tych przepisach, a w przypadku braku definicji – w rozumieniu powszechnym.</w:t>
      </w:r>
    </w:p>
    <w:p w:rsidR="00A77B3E" w:rsidRDefault="00141EAF">
      <w:pPr>
        <w:keepNext/>
        <w:spacing w:before="480" w:after="480"/>
        <w:jc w:val="center"/>
        <w:rPr>
          <w:color w:val="000000"/>
          <w:u w:color="000000"/>
        </w:rPr>
      </w:pPr>
      <w:r>
        <w:rPr>
          <w:b/>
        </w:rPr>
        <w:t>Rozdział 2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:rsidR="00A77B3E" w:rsidRDefault="00141EAF">
      <w:pPr>
        <w:keepLines/>
        <w:spacing w:before="240"/>
        <w:ind w:firstLine="567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 xml:space="preserve">Ustala się następujące zasady ochrony i kształtowania ładu </w:t>
      </w:r>
      <w:r>
        <w:rPr>
          <w:color w:val="000000"/>
          <w:u w:color="000000"/>
        </w:rPr>
        <w:t>przestrzennego: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kształtowanie standardów zagospodarowania i użytkowania terenów z uwzględnieniem: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porządkowania i uzupełniania istniejących struktur zabudowy z poszanowaniem historycznego układu urbanistycznego i obiektów zabytkowych,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tworzenia mo</w:t>
      </w:r>
      <w:r>
        <w:rPr>
          <w:color w:val="000000"/>
          <w:u w:color="000000"/>
        </w:rPr>
        <w:t>żliwości rozwoju nowej zabudowy w układach o charakterze śródmiejskim,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rozbudowy systemu przestrzeni publicznych i podnoszenia jego jakości;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tereny zabudowy oznaczone na rysunku planu symbolem MW-U zalicza się do obszarów zabudowy śródmiejskiej w roz</w:t>
      </w:r>
      <w:r>
        <w:rPr>
          <w:color w:val="000000"/>
          <w:u w:color="000000"/>
        </w:rPr>
        <w:t>umieniu przepisów odrębnych dotyczących budownictwa;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przeznaczenia terenu: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lokalizacji:</w:t>
      </w:r>
    </w:p>
    <w:p w:rsidR="00A77B3E" w:rsidRDefault="00141EAF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usług uciążliwych,</w:t>
      </w:r>
    </w:p>
    <w:p w:rsidR="00A77B3E" w:rsidRDefault="00141EAF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 xml:space="preserve">usług w zakresie obsługi pojazdów, to jest: warsztatów samochodowych, stacji obsługi samochodów, stacji paliw, </w:t>
      </w:r>
      <w:r>
        <w:rPr>
          <w:color w:val="000000"/>
          <w:u w:color="000000"/>
        </w:rPr>
        <w:t>wolnostojących myjni samochodowych,</w:t>
      </w:r>
    </w:p>
    <w:p w:rsidR="00A77B3E" w:rsidRDefault="00141EAF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punktów zbierania i przetwarzania odpadów, w tym złomu,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zakresie przeznaczenia dopuszczalnego możliwość realizacji:</w:t>
      </w:r>
    </w:p>
    <w:p w:rsidR="00A77B3E" w:rsidRDefault="00141EAF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zieleni z wyłączeniem drzew,</w:t>
      </w:r>
    </w:p>
    <w:p w:rsidR="00A77B3E" w:rsidRDefault="00141EAF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urządzeń rekreacyjnych;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zakresie lokalizacji zabudowy: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lokalizacji tymczasowych obiektów budowlanych z wyjątkiem obiektów dopuszczonych w przestrzeniach publicznych,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dopuszczenie sytuowania budynku zwróconego ścianą bez okien i drzwi w stronę granicy z sąsiednią działką budowlaną, bezpośrednio przy te</w:t>
      </w:r>
      <w:r>
        <w:rPr>
          <w:color w:val="000000"/>
          <w:u w:color="000000"/>
        </w:rPr>
        <w:t>j granicy,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zabudowy istniejącej o funkcji zgodnej z przeznaczeniem terenu, a ukształtowanej niezgodnie z wyznaczonymi na rysunku planu liniami zabudowy, zlokalizowanej:</w:t>
      </w:r>
    </w:p>
    <w:p w:rsidR="00A77B3E" w:rsidRDefault="00141EAF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części poza liniami zabudowy – dopuszczenie wyłącznie remontu, przebudowy or</w:t>
      </w:r>
      <w:r>
        <w:rPr>
          <w:color w:val="000000"/>
          <w:u w:color="000000"/>
        </w:rPr>
        <w:t>az rozbudowy lub nadbudowy uwzględniającej wyznaczone na rysunku planu linie zabudowy,</w:t>
      </w:r>
    </w:p>
    <w:p w:rsidR="00A77B3E" w:rsidRDefault="00141EAF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obrębie linii zabudowy – dopuszczenie remontu, przebudowy, nadbudowy i rozbudowy bez konieczności jej realizacji w linii zabudowy pierzejowej lub obowiązującej;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</w:t>
      </w:r>
      <w:r>
        <w:rPr>
          <w:color w:val="000000"/>
          <w:u w:color="000000"/>
        </w:rPr>
        <w:t xml:space="preserve"> zakresie wskaźników i parametrów zabudowy – dla zabudowy istniejącej o funkcji zgodnej z przeznaczeniem terenu, a niespełniającej wymagań określonych w ustaleniach szczegółowych: nieosiągającej minimalnej nadziemnej intensywności zabudowy lub minimalnej w</w:t>
      </w:r>
      <w:r>
        <w:rPr>
          <w:color w:val="000000"/>
          <w:u w:color="000000"/>
        </w:rPr>
        <w:t>ysokości elewacji frontowej – dopuszczenie wykonania wszelkich robót budowlanych bez konieczności osiągnięcia tych parametrów;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 zakresie kształtowania zabudowy: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realizacji w określonej na rysunku planu strefie przejścia i przejazdu ogólnodostę</w:t>
      </w:r>
      <w:r>
        <w:rPr>
          <w:color w:val="000000"/>
          <w:u w:color="000000"/>
        </w:rPr>
        <w:t>pnego ciągu pieszego przebiegającego przez prześwit w obrysie obiektu budowlanego w rozumieniu przepisów odrębnych z zakresu gospodarki nieruchomościami,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lastRenderedPageBreak/>
        <w:t>b) </w:t>
      </w:r>
      <w:r>
        <w:rPr>
          <w:color w:val="000000"/>
          <w:u w:color="000000"/>
        </w:rPr>
        <w:t xml:space="preserve">zakaz stosowania zewnętrznych materiałów wykończeniowych obiektów w postaci: okładzin winylowych, </w:t>
      </w:r>
      <w:r>
        <w:rPr>
          <w:color w:val="000000"/>
          <w:u w:color="000000"/>
        </w:rPr>
        <w:t>okładzin z gresu lub glazury, blach trapezowych i falistych, blachodachówki, wikliny, słomy, bielonych ścian, niepoddanych obróbce elementów z kamienia lub drewna,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dopuszczenie wycofania części elewacji frontowej budynku, sytuowanego wzdłuż linii zabudo</w:t>
      </w:r>
      <w:r>
        <w:rPr>
          <w:color w:val="000000"/>
          <w:u w:color="000000"/>
        </w:rPr>
        <w:t>wy pierzejowej wyłącznie dla:</w:t>
      </w:r>
    </w:p>
    <w:p w:rsidR="00A77B3E" w:rsidRDefault="00141EAF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podcieni lub loggii,</w:t>
      </w:r>
    </w:p>
    <w:p w:rsidR="00A77B3E" w:rsidRDefault="00141EAF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części budynków realizowanych w związku z dopuszczeniem zwiększenia maksymalnej wysokości zabudowy w przypadku zabudowy typu penthouse;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zakresie lokalizowania obiektów i urządzeń technicznych: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zakaz:</w:t>
      </w:r>
    </w:p>
    <w:p w:rsidR="00A77B3E" w:rsidRDefault="00141EAF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umieszczania na elewacjach frontowych oraz w prześwitach bramowych elementów technicznego wyposażenia budynków, z wyjątkiem skrzynek przyłączy oraz instalacji służących iluminacji budynków lub zapewnieniu bezpieczeństwa,</w:t>
      </w:r>
    </w:p>
    <w:p w:rsidR="00A77B3E" w:rsidRDefault="00141EAF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umieszczania urządzeń fo</w:t>
      </w:r>
      <w:r>
        <w:rPr>
          <w:color w:val="000000"/>
          <w:u w:color="000000"/>
        </w:rPr>
        <w:t>towoltaicznych:</w:t>
      </w:r>
    </w:p>
    <w:p w:rsidR="00A77B3E" w:rsidRDefault="00141EAF">
      <w:pPr>
        <w:keepLines/>
        <w:ind w:left="1020" w:hanging="227"/>
        <w:rPr>
          <w:color w:val="000000"/>
          <w:u w:color="000000"/>
        </w:rPr>
      </w:pPr>
      <w:r>
        <w:t>-- </w:t>
      </w:r>
      <w:r>
        <w:rPr>
          <w:color w:val="000000"/>
          <w:u w:color="000000"/>
        </w:rPr>
        <w:t>na dachach płaskich – w odległości mniejszej niż 4,0 m od linii rozgraniczającej z terenami przestrzeni publicznej, w tym zlokalizowanych poza granicami obszaru objętego planem oraz o wysokości przekraczającej wraz z obudową 4,0 m,</w:t>
      </w:r>
    </w:p>
    <w:p w:rsidR="00A77B3E" w:rsidRDefault="00141EAF">
      <w:pPr>
        <w:keepLines/>
        <w:ind w:left="1020" w:hanging="227"/>
        <w:rPr>
          <w:color w:val="000000"/>
          <w:u w:color="000000"/>
        </w:rPr>
      </w:pPr>
      <w:r>
        <w:t>-- </w:t>
      </w:r>
      <w:r>
        <w:rPr>
          <w:color w:val="000000"/>
          <w:u w:color="000000"/>
        </w:rPr>
        <w:t>na</w:t>
      </w:r>
      <w:r>
        <w:rPr>
          <w:color w:val="000000"/>
          <w:u w:color="000000"/>
        </w:rPr>
        <w:t xml:space="preserve"> dachach innych niż płaskie – na połaciach dachowych od strony przestrzeni publicznej, w tym zlokalizowanych poza granicami obszaru objętego planem,</w:t>
      </w:r>
    </w:p>
    <w:p w:rsidR="00A77B3E" w:rsidRDefault="00141EAF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lokalizacji masztów telekomunikacyjnych z wyjątkiem umieszczanych na dachach budynków o wysokości nie </w:t>
      </w:r>
      <w:r>
        <w:rPr>
          <w:color w:val="000000"/>
          <w:u w:color="000000"/>
        </w:rPr>
        <w:t>mniejszej niż 18,0 m,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dopuszczenie:</w:t>
      </w:r>
    </w:p>
    <w:p w:rsidR="00A77B3E" w:rsidRDefault="00141EAF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umieszczania na elewacjach frontowych skrzynek przyłączy infrastruktury technicznej, a skrzynek przyłączy gazowych również na ogrodzeniach, wyłącznie jako wbudowanych w ścianę lub ogrodzenie oraz pod warunkiem zasto</w:t>
      </w:r>
      <w:r>
        <w:rPr>
          <w:color w:val="000000"/>
          <w:u w:color="000000"/>
        </w:rPr>
        <w:t>sowania kolorystyki dla widocznej części skrzynek odpowiadającej barwie elewacji lub ogrodzenia, w które są wbudowane, lub w kolorze grafitowym odpowiadającym barwie 7016 w systemie RAL,</w:t>
      </w:r>
    </w:p>
    <w:p w:rsidR="00A77B3E" w:rsidRDefault="00141EAF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zakładania na obiektach budowlanych elementów trakcji, znaków i syg</w:t>
      </w:r>
      <w:r>
        <w:rPr>
          <w:color w:val="000000"/>
          <w:u w:color="000000"/>
        </w:rPr>
        <w:t>nałów drogowych lub innych urządzeń bezpieczeństwa ruchu drogowego, urządzeń służących do zapewnienia bezpieczeństwa publicznego, a także urządzeń niezbędnych do korzystania z nich, w rozumieniu przepisów odrębnych dotyczących gospodarki nieruchomościami.</w:t>
      </w:r>
    </w:p>
    <w:p w:rsidR="00A77B3E" w:rsidRDefault="00141EAF">
      <w:pPr>
        <w:keepLines/>
        <w:spacing w:before="240"/>
        <w:ind w:firstLine="567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Ustala się następujące wymagania wynikające z potrzeb kształtowania przestrzeni publicznych: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wyznacza się układ przestrzeni publicznych, do którego należą: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placu lub rynku oznaczony symbolem 1KOR,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tereny komunikacji drogowej publicznej </w:t>
      </w:r>
      <w:r>
        <w:rPr>
          <w:color w:val="000000"/>
          <w:u w:color="000000"/>
        </w:rPr>
        <w:t>oznaczone symbolami: 1KDL, 1KDD i 2KDD;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dopuszczenie sytuowania tymczasowych obiektów usługowo-handlowych takich, jak: ogródki gastronomiczne, wystawy artystyczne, sceny, estrady, lodowiska, szopki, stoiska usługowe, handlowe lub gastronomiczne;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naka</w:t>
      </w:r>
      <w:r>
        <w:rPr>
          <w:color w:val="000000"/>
          <w:u w:color="000000"/>
        </w:rPr>
        <w:t>z stosowania rozwiązań uwzględniających potrzeby osób ze szczególnymi potrzebami.</w:t>
      </w:r>
    </w:p>
    <w:p w:rsidR="00A77B3E" w:rsidRDefault="00141EAF">
      <w:pPr>
        <w:keepLines/>
        <w:spacing w:before="240"/>
        <w:ind w:firstLine="567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Ustala się następujące zasady ochrony środowiska, przyrody i krajobrazu oraz zasady kształtowania krajobrazu: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przedsięwzięć mogących: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zawsze znac</w:t>
      </w:r>
      <w:r>
        <w:rPr>
          <w:color w:val="000000"/>
          <w:u w:color="000000"/>
        </w:rPr>
        <w:t>ząco oddziaływać na środowisko,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potencjalnie znacząco oddziaływać na środowisko z wyjątkiem:</w:t>
      </w:r>
    </w:p>
    <w:p w:rsidR="00A77B3E" w:rsidRDefault="00141EAF">
      <w:pPr>
        <w:keepLines/>
        <w:ind w:left="680" w:hanging="113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>zespołów zabudowy mieszkaniowej, usługowej, garaży i parkingów samochodowych oraz zespołów parkingów wraz z towarzyszącą im infrastrukturą,</w:t>
      </w:r>
    </w:p>
    <w:p w:rsidR="00A77B3E" w:rsidRDefault="00141EAF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przedsięwzięć do</w:t>
      </w:r>
      <w:r>
        <w:rPr>
          <w:color w:val="000000"/>
          <w:u w:color="000000"/>
        </w:rPr>
        <w:t>tyczących infrastruktury technicznej oraz dróg;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zakresie gospodarki wodnej i odprowadzania ścieków oraz gospodarki odpadami – nakaz stosowania kompleksowych rozwiązań poprzez: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doprowadzenie infrastruktury technicznej wodociągowej i kanalizacji </w:t>
      </w:r>
      <w:r>
        <w:rPr>
          <w:color w:val="000000"/>
          <w:u w:color="000000"/>
        </w:rPr>
        <w:t>sanitarnej bądź ogólnospławnej do wszystkich terenów przeznaczonych na cele zabudowy,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realizację urządzeń infrastruktury technicznej odbioru wód opadowych i roztopowych dla terenów przeznaczanych na cele zabudowy i dróg,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nakaz stosowania rozwiązań za</w:t>
      </w:r>
      <w:r>
        <w:rPr>
          <w:color w:val="000000"/>
          <w:u w:color="000000"/>
        </w:rPr>
        <w:t>pewniających wykorzystanie lub retencjonowanie nadmiaru wód opadowych i roztopowych w miejscu ich powstania, z dopuszczeniem odprowadzenia ich do odbiornika na warunkach określonych w przepisach odrębnych dotyczących zbiorowego zaopatrzenia w wodę i zbioro</w:t>
      </w:r>
      <w:r>
        <w:rPr>
          <w:color w:val="000000"/>
          <w:u w:color="000000"/>
        </w:rPr>
        <w:t>wego odprowadzania ścieków oraz prawa wodnego, a także budownictwa, przy zastosowaniu rozwiązań opóźniających odpływ i ograniczających jego wielkość,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włączanie terenów zurbanizowanych do miejskiego systemu gospodarki odpadami na zasadach określonych w p</w:t>
      </w:r>
      <w:r>
        <w:rPr>
          <w:color w:val="000000"/>
          <w:u w:color="000000"/>
        </w:rPr>
        <w:t>rzepisach odrębnych dotyczących utrzymania czystości i porządku w gminie;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ochrony powietrza – zakaz stosowania źródeł zaopatrzenia w ciepło powodujących emisję substancji przekraczającą dopuszczalne normy;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zakresie ochrony przed promieni</w:t>
      </w:r>
      <w:r>
        <w:rPr>
          <w:color w:val="000000"/>
          <w:u w:color="000000"/>
        </w:rPr>
        <w:t>owaniem elektromagnetycznym – zakaz lokalizacji infrastruktury technicznej, która powoduje przekroczenie dopuszczalnych poziomów pól elektromagnetycznych w środowisku określonych w przepisach odrębnych dotyczących ochrony środowiska w budynkach z pomieszcz</w:t>
      </w:r>
      <w:r>
        <w:rPr>
          <w:color w:val="000000"/>
          <w:u w:color="000000"/>
        </w:rPr>
        <w:t>eniami przeznaczonymi na pobyt ludzi, w rozumieniu przepisów odrębnych dotyczących budownictwa;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zakresie ochrony przed hałasem – tereny oznaczone na rysunku planu symbolem MW-U zalicza się do terenów chronionych akustycznie określonych jako „tereny w </w:t>
      </w:r>
      <w:r>
        <w:rPr>
          <w:color w:val="000000"/>
          <w:u w:color="000000"/>
        </w:rPr>
        <w:t>strefie śródmiejskiej miast powyżej 100 tys. mieszkańców” w rozumieniu przepisów odrębnych dotyczących dopuszczalnych poziomów hałasu w środowisku;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 xml:space="preserve">w zakresie odnawialnych źródeł energii – dopuszczenie wykorzystania w terenach przestrzeni publicznych </w:t>
      </w:r>
      <w:r>
        <w:rPr>
          <w:color w:val="000000"/>
          <w:u w:color="000000"/>
        </w:rPr>
        <w:t>instalacji odnawialnych źródeł energii o mocy nie większej niż moc mikroinstalacji, o której mowa w przepisach odrębnych z zakresu odnawialnych źródeł energii.</w:t>
      </w:r>
    </w:p>
    <w:p w:rsidR="00A77B3E" w:rsidRDefault="00141EAF">
      <w:pPr>
        <w:keepLines/>
        <w:spacing w:before="240"/>
        <w:ind w:firstLine="567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Ustala się granice i sposoby zagospodarowania krajobrazów priorytetowych wyznaczonych w Aud</w:t>
      </w:r>
      <w:r>
        <w:rPr>
          <w:color w:val="000000"/>
          <w:u w:color="000000"/>
        </w:rPr>
        <w:t>ycie krajobrazowym województwa łódzkiego uchwalonym uchwałą Nr XIII/150/25 Sejmiku Województwa Łódzkiego z dnia 15 kwietnia 2025 r. w sprawie uchwalenia Audytu krajobrazowego województwa łódzkiego – cały obszar objęty planem znajduje się w granicach „Krajo</w:t>
      </w:r>
      <w:r>
        <w:rPr>
          <w:color w:val="000000"/>
          <w:u w:color="000000"/>
        </w:rPr>
        <w:t>brazu Priorytetowego Łódź – krajobraz wielkomiejski”.</w:t>
      </w:r>
    </w:p>
    <w:p w:rsidR="00A77B3E" w:rsidRDefault="00141EAF">
      <w:pPr>
        <w:keepLines/>
        <w:spacing w:before="240"/>
        <w:ind w:firstLine="567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>Ustala się następujące zasady ochrony dziedzictwa kulturowego i zabytków, w tym krajobrazów kulturowych: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wprowadza się strefę ochrony konserwatorskiej elementów rozplanowania oraz zabytków, obej</w:t>
      </w:r>
      <w:r>
        <w:rPr>
          <w:color w:val="000000"/>
          <w:u w:color="000000"/>
        </w:rPr>
        <w:t>mującą cały obszar objęty planem, dla której ustala się: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zachowania historycznej struktury przestrzennej obejmującej istniejący układ ulic i placów wraz z lokalizacją pierzei stanowiących ich obudowę,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lastRenderedPageBreak/>
        <w:t>b) </w:t>
      </w:r>
      <w:r>
        <w:rPr>
          <w:color w:val="000000"/>
          <w:u w:color="000000"/>
        </w:rPr>
        <w:t>dla budynków lokalizowanych od strony ul. J</w:t>
      </w:r>
      <w:r>
        <w:rPr>
          <w:color w:val="000000"/>
          <w:u w:color="000000"/>
        </w:rPr>
        <w:t>uliana Tuwima, zlokalizowanej poza granicami obszaru objętego planem, w przypadku przedsięwzięć inwestycyjnych obejmujących więcej niż jedną działkę z historycznego podziału własnościowego oznaczonego na rysunku planu – nakaz zaznaczenia w kompozycji elewa</w:t>
      </w:r>
      <w:r>
        <w:rPr>
          <w:color w:val="000000"/>
          <w:u w:color="000000"/>
        </w:rPr>
        <w:t>cji frontowej historycznych podziałów własnościowych oznaczonych na rysunku planu oraz indywidualnego zakomponowania każdego z tak wydzielonych segmentów elewacji;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wskazuje się zabytek wpisany do gminnej ewidencji zabytków, oznaczony na rysunku planu sy</w:t>
      </w:r>
      <w:r>
        <w:rPr>
          <w:color w:val="000000"/>
          <w:u w:color="000000"/>
        </w:rPr>
        <w:t>mbolem E i wymieniony w tabeli w ustaleniach szczegółowych, dla którego ustala się ochronę poprzez nakaz zachowania elementów i parametrów zabytku podlegających ochronie wymienionych w tabeli w ustaleniach szczegółowych;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w zakresie remontu i przebudowy </w:t>
      </w:r>
      <w:r>
        <w:rPr>
          <w:color w:val="000000"/>
          <w:u w:color="000000"/>
        </w:rPr>
        <w:t>budynków wpisanych do gminnej ewidencji zabytków ustala się następujące warunki: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stosowania rolet zewnętrznych, krat i okiennic na elewacjach frontowych z wyjątkiem kondygnacji parteru,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nakaz stosowania na elewacji najwyżej trzech kolorów z tej</w:t>
      </w:r>
      <w:r>
        <w:rPr>
          <w:color w:val="000000"/>
          <w:u w:color="000000"/>
        </w:rPr>
        <w:t xml:space="preserve"> samej gamy barw podanej w poniższej tabeli, w tym: jednego koloru dla powierzchni ścian, jednego (najjaśniejszego) dla detalu architektonicznego oraz jednego (najciemniejszego) dla partii cokołu, odpowiadających w systemie NCS barwom o oznaczeniu dotycząc</w:t>
      </w:r>
      <w:r>
        <w:rPr>
          <w:color w:val="000000"/>
          <w:u w:color="000000"/>
        </w:rPr>
        <w:t>ych podanego w poniższej tabeli, z dopuszczeniem użycia innych kolorów lub ich innej konfiguracji w przypadku naturalnej kolorystyki materiałów wykończeniowych takich jak: ceramika budowlana, kamień naturalny, tynki historyczne, metal, szkło: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2"/>
        <w:gridCol w:w="1984"/>
        <w:gridCol w:w="1984"/>
        <w:gridCol w:w="1969"/>
        <w:gridCol w:w="2269"/>
      </w:tblGrid>
      <w:tr w:rsidR="00444329">
        <w:tc>
          <w:tcPr>
            <w:tcW w:w="10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41EAF">
            <w:pPr>
              <w:jc w:val="center"/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System</w:t>
            </w:r>
            <w:r>
              <w:rPr>
                <w:color w:val="000000"/>
                <w:u w:color="000000"/>
              </w:rPr>
              <w:br/>
              <w:t>i</w:t>
            </w:r>
          </w:p>
          <w:p w:rsidR="00A77B3E" w:rsidRDefault="00141EAF">
            <w:pPr>
              <w:jc w:val="center"/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edyc</w:t>
            </w:r>
            <w:r>
              <w:rPr>
                <w:color w:val="000000"/>
                <w:u w:color="000000"/>
              </w:rPr>
              <w:t>ja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41EAF">
            <w:pPr>
              <w:jc w:val="center"/>
              <w:rPr>
                <w:color w:val="000000"/>
                <w:u w:color="000000"/>
              </w:rPr>
            </w:pPr>
            <w:r>
              <w:t>Zawartość czerni</w:t>
            </w:r>
          </w:p>
          <w:p w:rsidR="00444329" w:rsidRDefault="00141EAF">
            <w:pPr>
              <w:jc w:val="center"/>
            </w:pPr>
            <w:r>
              <w:t>(dwie pierwsze cyfry)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41EAF">
            <w:pPr>
              <w:jc w:val="center"/>
              <w:rPr>
                <w:color w:val="000000"/>
                <w:u w:color="000000"/>
              </w:rPr>
            </w:pPr>
            <w:r>
              <w:t>Poziom chromatyczności</w:t>
            </w:r>
          </w:p>
          <w:p w:rsidR="00444329" w:rsidRDefault="00141EAF">
            <w:pPr>
              <w:jc w:val="center"/>
            </w:pPr>
            <w:r>
              <w:t>(dwie kolejne cyfry)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41EAF">
            <w:pPr>
              <w:jc w:val="center"/>
              <w:rPr>
                <w:color w:val="000000"/>
                <w:u w:color="000000"/>
              </w:rPr>
            </w:pPr>
            <w:r>
              <w:t>Symbol koloru</w:t>
            </w:r>
          </w:p>
          <w:p w:rsidR="00444329" w:rsidRDefault="00141EAF">
            <w:pPr>
              <w:jc w:val="center"/>
            </w:pPr>
            <w:r>
              <w:t>(po myślniku)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41EAF">
            <w:pPr>
              <w:jc w:val="center"/>
              <w:rPr>
                <w:color w:val="000000"/>
                <w:u w:color="000000"/>
              </w:rPr>
            </w:pPr>
            <w:r>
              <w:t>Gamy barw</w:t>
            </w:r>
          </w:p>
        </w:tc>
      </w:tr>
      <w:tr w:rsidR="00444329">
        <w:trPr>
          <w:trHeight w:val="227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41EAF">
            <w:pPr>
              <w:jc w:val="center"/>
              <w:rPr>
                <w:color w:val="000000"/>
                <w:u w:color="000000"/>
              </w:rPr>
            </w:pPr>
            <w:r>
              <w:t>NCS 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41EAF">
            <w:pPr>
              <w:jc w:val="center"/>
              <w:rPr>
                <w:color w:val="000000"/>
                <w:u w:color="000000"/>
              </w:rPr>
            </w:pPr>
            <w:r>
              <w:t>maks. 40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41EAF">
            <w:pPr>
              <w:jc w:val="center"/>
              <w:rPr>
                <w:color w:val="000000"/>
                <w:u w:color="000000"/>
              </w:rPr>
            </w:pPr>
            <w:r>
              <w:t>maks. 20</w:t>
            </w:r>
          </w:p>
        </w:tc>
        <w:tc>
          <w:tcPr>
            <w:tcW w:w="1965" w:type="dxa"/>
            <w:vMerge w:val="restar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41EAF">
            <w:pPr>
              <w:jc w:val="center"/>
              <w:rPr>
                <w:color w:val="000000"/>
                <w:u w:color="000000"/>
              </w:rPr>
            </w:pPr>
            <w:r>
              <w:t>G30Y do G90Y,</w:t>
            </w:r>
          </w:p>
          <w:p w:rsidR="00444329" w:rsidRDefault="00141EAF">
            <w:pPr>
              <w:jc w:val="center"/>
            </w:pPr>
            <w:r>
              <w:t>Y,</w:t>
            </w:r>
          </w:p>
          <w:p w:rsidR="00444329" w:rsidRDefault="00141EAF">
            <w:pPr>
              <w:jc w:val="center"/>
            </w:pPr>
            <w:r>
              <w:t>od Y10R do Y80R</w:t>
            </w:r>
          </w:p>
        </w:tc>
        <w:tc>
          <w:tcPr>
            <w:tcW w:w="2265" w:type="dxa"/>
            <w:vMerge w:val="restar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41EAF">
            <w:pPr>
              <w:jc w:val="center"/>
              <w:rPr>
                <w:color w:val="000000"/>
                <w:u w:color="000000"/>
              </w:rPr>
            </w:pPr>
            <w:r>
              <w:t>neutralne, biele, szarości, ugry, przełamane róże, oliwkowe zielenie</w:t>
            </w:r>
          </w:p>
        </w:tc>
      </w:tr>
      <w:tr w:rsidR="00444329">
        <w:trPr>
          <w:trHeight w:val="283"/>
        </w:trPr>
        <w:tc>
          <w:tcPr>
            <w:tcW w:w="108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77B3E">
            <w:pPr>
              <w:jc w:val="center"/>
              <w:rPr>
                <w:color w:val="000000"/>
                <w:u w:color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41EAF">
            <w:pPr>
              <w:jc w:val="center"/>
              <w:rPr>
                <w:color w:val="000000"/>
                <w:u w:color="000000"/>
              </w:rPr>
            </w:pPr>
            <w:r>
              <w:t xml:space="preserve">45 </w:t>
            </w:r>
            <w:r>
              <w:t>lub 50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41EAF">
            <w:pPr>
              <w:jc w:val="center"/>
              <w:rPr>
                <w:color w:val="000000"/>
                <w:u w:color="000000"/>
              </w:rPr>
            </w:pPr>
            <w:r>
              <w:t>maks. 10</w:t>
            </w:r>
          </w:p>
        </w:tc>
        <w:tc>
          <w:tcPr>
            <w:tcW w:w="1965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77B3E">
            <w:pPr>
              <w:jc w:val="center"/>
              <w:rPr>
                <w:color w:val="000000"/>
                <w:u w:color="000000"/>
              </w:rPr>
            </w:pPr>
          </w:p>
        </w:tc>
        <w:tc>
          <w:tcPr>
            <w:tcW w:w="2265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77B3E">
            <w:pPr>
              <w:jc w:val="center"/>
              <w:rPr>
                <w:color w:val="000000"/>
                <w:u w:color="000000"/>
              </w:rPr>
            </w:pPr>
          </w:p>
        </w:tc>
      </w:tr>
      <w:tr w:rsidR="00444329">
        <w:trPr>
          <w:trHeight w:val="227"/>
        </w:trPr>
        <w:tc>
          <w:tcPr>
            <w:tcW w:w="108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77B3E">
            <w:pPr>
              <w:jc w:val="center"/>
              <w:rPr>
                <w:color w:val="000000"/>
                <w:u w:color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41EAF">
            <w:pPr>
              <w:jc w:val="center"/>
              <w:rPr>
                <w:color w:val="000000"/>
                <w:u w:color="000000"/>
              </w:rPr>
            </w:pPr>
            <w:r>
              <w:t>maks. 75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41EAF">
            <w:pPr>
              <w:jc w:val="center"/>
              <w:rPr>
                <w:color w:val="000000"/>
                <w:u w:color="000000"/>
              </w:rPr>
            </w:pPr>
            <w:r>
              <w:t>maks. 02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41EAF">
            <w:pPr>
              <w:jc w:val="center"/>
              <w:rPr>
                <w:color w:val="000000"/>
                <w:u w:color="000000"/>
              </w:rPr>
            </w:pPr>
            <w:r>
              <w:t>pełny zakres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41EAF">
            <w:pPr>
              <w:jc w:val="center"/>
              <w:rPr>
                <w:color w:val="000000"/>
                <w:u w:color="000000"/>
              </w:rPr>
            </w:pPr>
            <w:r>
              <w:t>neutralne, biele, szarości, grafity</w:t>
            </w:r>
          </w:p>
        </w:tc>
      </w:tr>
    </w:tbl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 xml:space="preserve">nakaz stosowania dla stolarki kolorystyki spośród barw: ciemnobrązowej odpowiadającej w systemie RAL barwom 8011-8019, ciemnozielonej lub oliwkowej – 6003, </w:t>
      </w:r>
      <w:r>
        <w:rPr>
          <w:color w:val="000000"/>
          <w:u w:color="000000"/>
        </w:rPr>
        <w:t>6005-6009, 6011-6015 i 6020-6021, kości słoniowej – 1014-1015, jasnoszarej – 7001, 7004, 7035-7038, 7040-7042 i 7044-7047 lub perłowej – 1013, z dopuszczeniem stosowania naturalnego koloru drewna w odcieniach ciemnych,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nakaz stosowania dla ślusarki, obr</w:t>
      </w:r>
      <w:r>
        <w:rPr>
          <w:color w:val="000000"/>
          <w:u w:color="000000"/>
        </w:rPr>
        <w:t>óbek blacharskich i balustrad kolorystyki spośród barw: grafitowej odpowiadającej w systemie RAL barwie 7016, szarej – 7010 lub ciemnozielonej – 6005,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nakaz stosowania dla pokrycia dachów kolorystyki w odcieniach brązu, grafitu lub szarości, z dopuszcze</w:t>
      </w:r>
      <w:r>
        <w:rPr>
          <w:color w:val="000000"/>
          <w:u w:color="000000"/>
        </w:rPr>
        <w:t>niem stosowania naturalnej kolorystyki pokryć z blach i dachówki ceramicznej, a także urządzeń fotowoltaicznych.</w:t>
      </w:r>
    </w:p>
    <w:p w:rsidR="00A77B3E" w:rsidRDefault="00141EAF">
      <w:pPr>
        <w:keepLines/>
        <w:spacing w:before="240"/>
        <w:ind w:firstLine="567"/>
        <w:rPr>
          <w:color w:val="000000"/>
          <w:u w:color="000000"/>
        </w:rPr>
      </w:pPr>
      <w:r>
        <w:t>§ 10. 1. </w:t>
      </w:r>
      <w:r>
        <w:rPr>
          <w:color w:val="000000"/>
          <w:u w:color="000000"/>
        </w:rPr>
        <w:t>Ustala się następujące zasady i warunki scalania i podziału nieruchomości: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wyznacza się granic obszarów określonych w przepisac</w:t>
      </w:r>
      <w:r>
        <w:rPr>
          <w:color w:val="000000"/>
          <w:u w:color="000000"/>
        </w:rPr>
        <w:t>h odrębnych wymagających obowiązkowego przeprowadzenia scaleń i podziałów nieruchomości;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szczegółowe zasady i warunki scalania i podziału nieruchomości dokonywanego na wniosek określono w ustaleniach szczegółowych dla terenów.</w:t>
      </w:r>
    </w:p>
    <w:p w:rsidR="00A77B3E" w:rsidRDefault="00141EAF">
      <w:pPr>
        <w:spacing w:before="60"/>
        <w:ind w:firstLine="567"/>
        <w:rPr>
          <w:color w:val="000000"/>
          <w:u w:color="000000"/>
        </w:rPr>
      </w:pPr>
      <w:r>
        <w:lastRenderedPageBreak/>
        <w:t>2. </w:t>
      </w:r>
      <w:r>
        <w:rPr>
          <w:color w:val="000000"/>
          <w:u w:color="000000"/>
        </w:rPr>
        <w:t>Parametry dotyczące dzi</w:t>
      </w:r>
      <w:r>
        <w:rPr>
          <w:color w:val="000000"/>
          <w:u w:color="000000"/>
        </w:rPr>
        <w:t>ałek uzyskiwanych w wyniku scalania i podziału nieruchomości określone w ustaleniach szczegółowych dla terenów nie obowiązują dla działek gruntu wydzielonych pod drogi, dojścia i dojazdy oraz pod infrastrukturę techniczną.</w:t>
      </w:r>
    </w:p>
    <w:p w:rsidR="00A77B3E" w:rsidRDefault="00141EAF">
      <w:pPr>
        <w:keepLines/>
        <w:spacing w:before="240"/>
        <w:ind w:firstLine="567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>Ustala się następujące szcz</w:t>
      </w:r>
      <w:r>
        <w:rPr>
          <w:color w:val="000000"/>
          <w:u w:color="000000"/>
        </w:rPr>
        <w:t>ególne warunki zagospodarowania terenów oraz ograniczenia w ich użytkowaniu – w sąsiedztwie linii kolejowych, bocznic kolejowych i przejazdów kolejowych obowiązują wynikające z przepisów odrębnych dotyczących transportu kolejowego: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ograniczenia w wykony</w:t>
      </w:r>
      <w:r>
        <w:rPr>
          <w:color w:val="000000"/>
          <w:u w:color="000000"/>
        </w:rPr>
        <w:t>waniu robót ziemnych – na obszarze oznaczonym na rysunku planu jako strefa X w sąsiedztwie linii kolejowej;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ograniczenia w sytuowaniu drzew i krzewów – zgodnie z przepisami odrębnymi dotyczącymi transportu kolejowego.</w:t>
      </w:r>
    </w:p>
    <w:p w:rsidR="00A77B3E" w:rsidRDefault="00141EAF">
      <w:pPr>
        <w:keepLines/>
        <w:spacing w:before="240"/>
        <w:ind w:firstLine="567"/>
        <w:rPr>
          <w:color w:val="000000"/>
          <w:u w:color="000000"/>
        </w:rPr>
      </w:pPr>
      <w:r>
        <w:t>§ 12. </w:t>
      </w:r>
      <w:r>
        <w:rPr>
          <w:color w:val="000000"/>
          <w:u w:color="000000"/>
        </w:rPr>
        <w:t>Ustala się następujące zasady</w:t>
      </w:r>
      <w:r>
        <w:rPr>
          <w:color w:val="000000"/>
          <w:u w:color="000000"/>
        </w:rPr>
        <w:t xml:space="preserve"> modernizacji, rozbudowy i budowy systemów komunikacji oraz obsługi komunikacyjnej terenów przyległych: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układ komunikacyjny służący obsłudze ruchu z terenów przyległych stanowią: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teren drogi lokalnej, oznaczony na rysunku planu symbolem 1KDL </w:t>
      </w:r>
      <w:r>
        <w:rPr>
          <w:color w:val="000000"/>
          <w:u w:color="000000"/>
        </w:rPr>
        <w:t>(fragment ul. Wysokiej),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tereny dróg dojazdowych, oznaczone na rysunku planu symbolami 1KDD (ul. Wodna) i 2KDD (ulica projektowana),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 placu lub rynku, oznaczony na rysunku planu symbolem 1KOR,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drogi wewnętrzne niewyznaczone na rysunku planu,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drogi zlokalizowane poza granicą obszaru objętego planem;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połączenie układu komunikacyjnego obszaru objętego planem z zewnętrznym układem komunikacyjnym zapewniają tereny wymienione w pkt 1 lit. a – b.</w:t>
      </w:r>
    </w:p>
    <w:p w:rsidR="00A77B3E" w:rsidRDefault="00141EAF">
      <w:pPr>
        <w:keepLines/>
        <w:spacing w:before="240"/>
        <w:ind w:firstLine="567"/>
        <w:rPr>
          <w:color w:val="000000"/>
          <w:u w:color="000000"/>
        </w:rPr>
      </w:pPr>
      <w:r>
        <w:t>§ 13. 1. </w:t>
      </w:r>
      <w:r>
        <w:rPr>
          <w:color w:val="000000"/>
          <w:u w:color="000000"/>
        </w:rPr>
        <w:t>Ustala się minimalną liczbę miejsc do p</w:t>
      </w:r>
      <w:r>
        <w:rPr>
          <w:color w:val="000000"/>
          <w:u w:color="000000"/>
        </w:rPr>
        <w:t>arkowania: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samochodów osobowych: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mieszkań – 0,5 stanowiska na każdy lokal mieszkalny,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usług – 3 stanowiska na każde 1000 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>powierzchni obiektów usługowych;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rowerów: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mieszkań – 1 stanowisko na 10 lokali mieszkalnych,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usług:</w:t>
      </w:r>
    </w:p>
    <w:p w:rsidR="00A77B3E" w:rsidRDefault="00141EAF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hotelowych – 1 stanowisko na każde 1000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obiektów usługowych,</w:t>
      </w:r>
    </w:p>
    <w:p w:rsidR="00A77B3E" w:rsidRDefault="00141EAF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pozostałych – 6 stanowisk na każde 1000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obiektów usługowych.</w:t>
      </w:r>
    </w:p>
    <w:p w:rsidR="00A77B3E" w:rsidRDefault="00141EAF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Wymaganą liczbę miejsc do parkowania dla samochodów i rowerów należy określać: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prop</w:t>
      </w:r>
      <w:r>
        <w:rPr>
          <w:color w:val="000000"/>
          <w:u w:color="000000"/>
        </w:rPr>
        <w:t>orcjonalnie względem przyjętej jednostki przeliczeniowej i zaokrąglać w górę do kolejnej liczby całkowitej;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poprzez sumowanie minimalnych liczb miejsc do parkowania wymaganych dla poszczególnych części budynków wielofunkcyjnych.</w:t>
      </w:r>
    </w:p>
    <w:p w:rsidR="00A77B3E" w:rsidRDefault="00141EAF">
      <w:pPr>
        <w:spacing w:before="6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Nie ustala się liczby</w:t>
      </w:r>
      <w:r>
        <w:rPr>
          <w:color w:val="000000"/>
          <w:u w:color="000000"/>
        </w:rPr>
        <w:t xml:space="preserve"> miejsc do parkowania dla samochodów i rowerów dotyczącej zabudowy istniejącej.</w:t>
      </w:r>
    </w:p>
    <w:p w:rsidR="00A77B3E" w:rsidRDefault="00141EAF">
      <w:pPr>
        <w:spacing w:before="6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Dopuszcza się możliwość zapewnienia minimalnej liczby miejsc do parkowania dla samochodów, w całości lub części, na nieruchomościach położonych w odległości nie większej niż</w:t>
      </w:r>
      <w:r>
        <w:rPr>
          <w:color w:val="000000"/>
          <w:u w:color="000000"/>
        </w:rPr>
        <w:t xml:space="preserve"> 400 m od terenu inwestycji.</w:t>
      </w:r>
    </w:p>
    <w:p w:rsidR="00A77B3E" w:rsidRDefault="00141EAF">
      <w:pPr>
        <w:spacing w:before="60"/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Dla inwestycji obejmującej realizację więcej niż 5 miejsc do parkowania, minimum 4% ogólnej liczby miejsc, lecz nie mniej niż 1 miejsce, należy przeznaczyć do parkowania pojazdów zaopatrzonych w kartę parkingową, o której mo</w:t>
      </w:r>
      <w:r>
        <w:rPr>
          <w:color w:val="000000"/>
          <w:u w:color="000000"/>
        </w:rPr>
        <w:t xml:space="preserve">wa w przepisach dotyczących ruchu drogowego, z zastrzeżeniem: dróg publicznych, stref zamieszkania i stref ruchu, dla których </w:t>
      </w:r>
      <w:r>
        <w:rPr>
          <w:color w:val="000000"/>
          <w:u w:color="000000"/>
        </w:rPr>
        <w:lastRenderedPageBreak/>
        <w:t>minimalną liczbę stanowisk postojowych dla pojazdów zaopatrzonych w kartę parkingową określają przepisy odrębne dotyczące dróg pub</w:t>
      </w:r>
      <w:r>
        <w:rPr>
          <w:color w:val="000000"/>
          <w:u w:color="000000"/>
        </w:rPr>
        <w:t>licznych.</w:t>
      </w:r>
    </w:p>
    <w:p w:rsidR="00A77B3E" w:rsidRDefault="00141EAF">
      <w:pPr>
        <w:keepLines/>
        <w:spacing w:before="240"/>
        <w:ind w:firstLine="567"/>
        <w:rPr>
          <w:color w:val="000000"/>
          <w:u w:color="000000"/>
        </w:rPr>
      </w:pPr>
      <w:r>
        <w:t>§ 14. 1. </w:t>
      </w:r>
      <w:r>
        <w:rPr>
          <w:color w:val="000000"/>
          <w:u w:color="000000"/>
        </w:rPr>
        <w:t>Ustala się następujące zasady modernizacji, rozbudowy i budowy systemów infrastruktury technicznej: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wyposażanie terenów w infrastrukturę techniczną w oparciu o istniejące systemy, ich przebudowę i rozbudowę, a także budowę nowych syst</w:t>
      </w:r>
      <w:r>
        <w:rPr>
          <w:color w:val="000000"/>
          <w:u w:color="000000"/>
        </w:rPr>
        <w:t>emów;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nakaz lokalizacji nowej i rozbudowywanej infrastruktury technicznej jako podziemnej, z wyłączeniem stacji transformatorowych zlokalizowanych poza przestrzeniami publicznymi oraz elementów infrastruktury technicznej, które jedynie jako nadziemne mo</w:t>
      </w:r>
      <w:r>
        <w:rPr>
          <w:color w:val="000000"/>
          <w:u w:color="000000"/>
        </w:rPr>
        <w:t>gą pełnić swoją funkcję.</w:t>
      </w:r>
    </w:p>
    <w:p w:rsidR="00A77B3E" w:rsidRDefault="00141EAF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Określa się warunki powiązań infrastruktury technicznej na obszarze planu z układem zewnętrznym: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podstawowe źródło zaopatrzenia w wodę – magistrala wodociągowa w ul. Juliana Tuwima;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podstawowy odbiornik ścieków komunalnych</w:t>
      </w:r>
      <w:r>
        <w:rPr>
          <w:color w:val="000000"/>
          <w:u w:color="000000"/>
        </w:rPr>
        <w:t xml:space="preserve"> – kolektor If;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podstawowe źródło zaopatrzenia w gaz – gazociąg niskiego ciśnienia Dn 315 zlokalizowany w ul. Juliana Tuwima;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podstawowe źródła zaopatrzenia w ciepło systemowe – magistrale wody gorącej 2 x Dn 500 zlokalizowane w ul. Wysokiej;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podstawowe źródło zaopatrzenia w energię elektryczną – Rejonowy Punkt Zasilania</w:t>
      </w:r>
    </w:p>
    <w:p w:rsidR="00A77B3E" w:rsidRDefault="00141EAF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Śródmieście 110/15 kV</w:t>
      </w:r>
      <w:r>
        <w:rPr>
          <w:b/>
          <w:color w:val="000000"/>
          <w:u w:color="000000"/>
        </w:rPr>
        <w:t>.</w:t>
      </w:r>
    </w:p>
    <w:p w:rsidR="00A77B3E" w:rsidRDefault="00141EAF">
      <w:pPr>
        <w:keepLines/>
        <w:spacing w:before="240"/>
        <w:ind w:firstLine="567"/>
        <w:rPr>
          <w:color w:val="000000"/>
          <w:u w:color="000000"/>
        </w:rPr>
      </w:pPr>
      <w:r>
        <w:t>§ 15. </w:t>
      </w:r>
      <w:r>
        <w:rPr>
          <w:color w:val="000000"/>
          <w:u w:color="000000"/>
        </w:rPr>
        <w:t>Ustala się wysokość stawki procentowej służącej określeniu opłaty, o której mowa w art. 36 ust. 4 ustawy, dla wszystkich terenów – 30%.</w:t>
      </w:r>
    </w:p>
    <w:p w:rsidR="00A77B3E" w:rsidRDefault="00141EAF">
      <w:pPr>
        <w:keepLines/>
        <w:spacing w:before="240"/>
        <w:ind w:firstLine="567"/>
        <w:rPr>
          <w:color w:val="000000"/>
          <w:u w:color="000000"/>
        </w:rPr>
      </w:pPr>
      <w:r>
        <w:t>§ 16. 1. </w:t>
      </w:r>
      <w:r>
        <w:rPr>
          <w:color w:val="000000"/>
          <w:u w:color="000000"/>
        </w:rPr>
        <w:t>Us</w:t>
      </w:r>
      <w:r>
        <w:rPr>
          <w:color w:val="000000"/>
          <w:u w:color="000000"/>
        </w:rPr>
        <w:t>tala się granice terenów rozmieszczenia inwestycji celu publicznego</w:t>
      </w:r>
      <w:r>
        <w:rPr>
          <w:color w:val="000000"/>
          <w:u w:color="000000"/>
        </w:rPr>
        <w:br/>
        <w:t>o znaczeniu lokalnym, które stanowią wskazane na rysunku planu linie rozgraniczające terenów oznaczonych symbolami: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1KDL, 1KDD i 2KDD – dla dróg publicznych;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1KOR – dla publicznie do</w:t>
      </w:r>
      <w:r>
        <w:rPr>
          <w:color w:val="000000"/>
          <w:u w:color="000000"/>
        </w:rPr>
        <w:t>stępnego samorządowego placu;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MW-U – dla zabudowy mieszkaniowej służącej rozwojowi społecznego budownictwa czynszowego.</w:t>
      </w:r>
    </w:p>
    <w:p w:rsidR="00A77B3E" w:rsidRDefault="00141EAF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Wskazuje się, że dla nieruchomości przeznaczonych pod zabudowę mieszkaniową, położonych w granicach terenów wymienionych w ust. 1 </w:t>
      </w:r>
      <w:r>
        <w:rPr>
          <w:color w:val="000000"/>
          <w:u w:color="000000"/>
        </w:rPr>
        <w:t>pkt 3, realizacja zabudowy zgodnej z planem służąca rozwojowi społecznego budownictwa czynszowego, następuje w ramach realizacji inwestycji celu publicznego.</w:t>
      </w:r>
    </w:p>
    <w:p w:rsidR="00A77B3E" w:rsidRDefault="00141EAF">
      <w:pPr>
        <w:keepNext/>
        <w:spacing w:before="480" w:after="480"/>
        <w:jc w:val="center"/>
        <w:rPr>
          <w:color w:val="000000"/>
          <w:u w:color="000000"/>
        </w:rPr>
      </w:pPr>
      <w:r>
        <w:rPr>
          <w:b/>
        </w:rPr>
        <w:t>Rozdział 3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</w:t>
      </w:r>
    </w:p>
    <w:p w:rsidR="00A77B3E" w:rsidRDefault="00141EAF">
      <w:pPr>
        <w:keepLines/>
        <w:spacing w:before="240"/>
        <w:ind w:firstLine="567"/>
        <w:rPr>
          <w:color w:val="000000"/>
          <w:u w:color="000000"/>
        </w:rPr>
      </w:pPr>
      <w:r>
        <w:t>§ 17. 1. </w:t>
      </w:r>
      <w:r>
        <w:rPr>
          <w:color w:val="000000"/>
          <w:u w:color="000000"/>
        </w:rPr>
        <w:t xml:space="preserve">Dla terenu oznaczonego na rysunku planu symbolem </w:t>
      </w:r>
      <w:r>
        <w:rPr>
          <w:b/>
          <w:color w:val="000000"/>
          <w:u w:color="000000"/>
        </w:rPr>
        <w:t>1MW-U</w:t>
      </w:r>
      <w:r>
        <w:rPr>
          <w:color w:val="000000"/>
          <w:u w:color="000000"/>
        </w:rPr>
        <w:t xml:space="preserve"> o</w:t>
      </w:r>
      <w:r>
        <w:rPr>
          <w:color w:val="000000"/>
          <w:u w:color="000000"/>
        </w:rPr>
        <w:t>bowiązują ustalenia zawarte w kolejnych ustępach niniejszego paragrafu.</w:t>
      </w:r>
    </w:p>
    <w:p w:rsidR="00A77B3E" w:rsidRDefault="00141EAF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zabudowy mieszkaniowej wielorodzinnej lub usług, z wykluczeniem terenu usług handlu wielkopowierzchni</w:t>
      </w:r>
      <w:r>
        <w:rPr>
          <w:color w:val="000000"/>
          <w:u w:color="000000"/>
        </w:rPr>
        <w:t>owego;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komunikacji drogowej wewnętrznej,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garażu,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lastRenderedPageBreak/>
        <w:t>c) </w:t>
      </w:r>
      <w:r>
        <w:rPr>
          <w:color w:val="000000"/>
          <w:u w:color="000000"/>
        </w:rPr>
        <w:t>teren infrastruktury technicznej z wykluczeniem terenu: magazynu gazu, obsługi produktów naftowych i gospodarowania odpadami.</w:t>
      </w:r>
    </w:p>
    <w:p w:rsidR="00A77B3E" w:rsidRDefault="00141EAF">
      <w:pPr>
        <w:spacing w:before="6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</w:t>
      </w:r>
      <w:r>
        <w:rPr>
          <w:color w:val="000000"/>
          <w:u w:color="000000"/>
        </w:rPr>
        <w:t>owy i zagospodarowania terenu oraz zasad ochrony</w:t>
      </w:r>
      <w:r>
        <w:rPr>
          <w:color w:val="000000"/>
          <w:u w:color="000000"/>
        </w:rPr>
        <w:br/>
        <w:t>i kształtowania ładu przestrzennego ustala się: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wskaźniki zagospodarowania terenu: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udział powierzchni zabudowy – maksimum 0,75,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nadziemną intensywność zabudowy – minimum 1,0, maksimum 6,1,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udział</w:t>
      </w:r>
      <w:r>
        <w:rPr>
          <w:color w:val="000000"/>
          <w:u w:color="000000"/>
        </w:rPr>
        <w:t xml:space="preserve"> powierzchni biologicznie czynnej – minimum 0,15,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 xml:space="preserve">dla działek, na których przedmiotem inwestycji jest realizacja nadziemnego obiektu lub jego części o funkcji parkingowej o maksymalnie 2 kondygnacjach i powierzchni zabudowy stanowiącej co najmniej </w:t>
      </w:r>
      <w:r>
        <w:rPr>
          <w:color w:val="000000"/>
          <w:u w:color="000000"/>
        </w:rPr>
        <w:t>połowę powierzchni działki, a także przekrycie podwórzy i dziedzińców przeziernymi zadaszeniami, dopuszcza się zwiększenie maksymalnych wskaźników:</w:t>
      </w:r>
    </w:p>
    <w:p w:rsidR="00A77B3E" w:rsidRDefault="00141EAF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udziału powierzchni zabudowy – do 1,0,</w:t>
      </w:r>
    </w:p>
    <w:p w:rsidR="00A77B3E" w:rsidRDefault="00141EAF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nadziemnej intensywności zabudowy: o 0,35 w przypadku realizacji </w:t>
      </w:r>
      <w:r>
        <w:rPr>
          <w:color w:val="000000"/>
          <w:u w:color="000000"/>
        </w:rPr>
        <w:t>garażu wielostanowiskowego nadziemnego o 1 kondygnacji lub przekrycia podwórzy i dziedzińców oraz o 0,7 w przypadku realizacji garażu wielostanowiskowego nadziemnego o 2 kondygnacjach;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parametry kształtowania zabudowy: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wysokość zabudowy – maksimum 21</w:t>
      </w:r>
      <w:r>
        <w:rPr>
          <w:color w:val="000000"/>
          <w:u w:color="000000"/>
        </w:rPr>
        <w:t> m, z zastrzeżeniem strefy A oznaczonej na rysunku planu – maksimum 33 m,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dopuszcza się zwiększenie maksymalnej wysokości zabudowy o 3,80 m wyłącznie dla zabudowy typu penthouse,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wysokość elewacji frontowej zlokalizowanej od strony al. Rodziny Grohma</w:t>
      </w:r>
      <w:r>
        <w:rPr>
          <w:color w:val="000000"/>
          <w:u w:color="000000"/>
        </w:rPr>
        <w:t>nów, położonej poza granicą obszaru objętego planem – minimum 15 m,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wysokość parteru elewacji frontowej – minimum 3,5 m, z zastrzeżeniem elewacji frontowej budynków zlokalizowanych od strony al. Rodziny Grohmanów, położonej poza granicą obszaru objętego</w:t>
      </w:r>
      <w:r>
        <w:rPr>
          <w:color w:val="000000"/>
          <w:u w:color="000000"/>
        </w:rPr>
        <w:t xml:space="preserve"> planem – minimum 4,0 m,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dachy płaskie;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zasady kształtowania zabudowy, zagospodarowania oraz lokalizacji obiektów i funkcji – dla linii zabudowy pierzejowej od strony al. Rodziny Grohmanów, położonej poza granicą obszaru objętego planem – nakaz sytuo</w:t>
      </w:r>
      <w:r>
        <w:rPr>
          <w:color w:val="000000"/>
          <w:u w:color="000000"/>
        </w:rPr>
        <w:t>wania elewacji frontowej na odcinkach stanowiących łącznie minimum 70% długości tej linii położonej na działce budowlanej.</w:t>
      </w:r>
    </w:p>
    <w:p w:rsidR="00A77B3E" w:rsidRDefault="00141EAF">
      <w:pPr>
        <w:spacing w:before="6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szczegółowych zasad i warunków scalania i podziału nieruchomości ustala się: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powierzchnię działki – minimum 1500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 – minimum 20,0 m;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do pasa drogowego – 90º z tolerancją 2º, z zastrzeżeniem pasa drogowego al. Rodziny Grohmanów, położonej poza granicą obszaru objętego planem – od 75º do 105º.</w:t>
      </w:r>
    </w:p>
    <w:p w:rsidR="00A77B3E" w:rsidRDefault="00141EAF">
      <w:pPr>
        <w:keepLines/>
        <w:spacing w:before="240"/>
        <w:ind w:firstLine="567"/>
        <w:rPr>
          <w:color w:val="000000"/>
          <w:u w:color="000000"/>
        </w:rPr>
      </w:pPr>
      <w:r>
        <w:t>§ 18. </w:t>
      </w:r>
      <w:r>
        <w:t>1. </w:t>
      </w:r>
      <w:r>
        <w:rPr>
          <w:color w:val="000000"/>
          <w:u w:color="000000"/>
        </w:rPr>
        <w:t xml:space="preserve">Dla terenu oznaczonego na rysunku planu symbolem </w:t>
      </w:r>
      <w:r>
        <w:rPr>
          <w:b/>
          <w:color w:val="000000"/>
          <w:u w:color="000000"/>
        </w:rPr>
        <w:t>2MW-U</w:t>
      </w:r>
      <w:r>
        <w:rPr>
          <w:color w:val="000000"/>
          <w:u w:color="000000"/>
        </w:rPr>
        <w:t xml:space="preserve"> obowiązują ustalenia zawarte w kolejnych ustępach niniejszego paragrafu.</w:t>
      </w:r>
    </w:p>
    <w:p w:rsidR="00A77B3E" w:rsidRDefault="00141EAF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przeznaczenie podstawowe – teren zabudowy mieszkaniowej wielorodzinnej lub </w:t>
      </w:r>
      <w:r>
        <w:rPr>
          <w:color w:val="000000"/>
          <w:u w:color="000000"/>
        </w:rPr>
        <w:t>usług, z wykluczeniem terenu usług handlu wielkopowierzchniowego;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komunikacji drogowej wewnętrznej,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garażu,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lastRenderedPageBreak/>
        <w:t>c) </w:t>
      </w:r>
      <w:r>
        <w:rPr>
          <w:color w:val="000000"/>
          <w:u w:color="000000"/>
        </w:rPr>
        <w:t xml:space="preserve">teren infrastruktury technicznej z wykluczeniem terenu: magazynu gazu, obsługi produktów </w:t>
      </w:r>
      <w:r>
        <w:rPr>
          <w:color w:val="000000"/>
          <w:u w:color="000000"/>
        </w:rPr>
        <w:t>naftowych i gospodarowania odpadami.</w:t>
      </w:r>
    </w:p>
    <w:p w:rsidR="00A77B3E" w:rsidRDefault="00141EAF">
      <w:pPr>
        <w:spacing w:before="6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</w:t>
      </w:r>
      <w:r>
        <w:rPr>
          <w:color w:val="000000"/>
          <w:u w:color="000000"/>
        </w:rPr>
        <w:br/>
        <w:t>i kształtowania ładu przestrzennego ustala się: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wskaźniki zagospodarowania terenu: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udział powierzchni zabudowy – maksimum 1,0,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nadziemną intensywność zabudowy – minimum 1,0, maksimum 10,0,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udział powierzchni biologicznie czynnej – minimum 0,1;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parametry kształtowania zabudowy: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wysokość zabudowy – maksimum 33 m,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dopuszcza się zwiększenie maksymalnej wysokości zabudowy o</w:t>
      </w:r>
      <w:r>
        <w:rPr>
          <w:color w:val="000000"/>
          <w:u w:color="000000"/>
        </w:rPr>
        <w:t> 3,80 m wyłącznie dla zabudowy typu penthouse,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wysokość elewacji frontowej zlokalizowanej od strony al. Rodziny Grohmanów, położonej poza granicą obszaru objętego planem – minimum 15 m,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wysokość parteru elewacji frontowej – minimum 3,5 m, z zastrzeże</w:t>
      </w:r>
      <w:r>
        <w:rPr>
          <w:color w:val="000000"/>
          <w:u w:color="000000"/>
        </w:rPr>
        <w:t>niem elewacji frontowej budynków zlokalizowanych od strony al. Rodziny Grohmanów, położonej poza granicą obszaru objętego planem – minimum 4,0 m,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dachy płaskie;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zasady kształtowania zabudowy, zagospodarowania oraz lokalizacji obiektów i funkcji: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</w:t>
      </w:r>
      <w:r>
        <w:rPr>
          <w:color w:val="000000"/>
          <w:u w:color="000000"/>
        </w:rPr>
        <w:t>la linii zabudowy pierzejowej od strony al. Rodziny Grohmanów, położonej poza granicą obszaru objętego planem – nakaz sytuowania elewacji frontowej na odcinkach stanowiących łącznie minimum 70% długości tej linii położonej na działce budowlanej,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wprowad</w:t>
      </w:r>
      <w:r>
        <w:rPr>
          <w:color w:val="000000"/>
          <w:u w:color="000000"/>
        </w:rPr>
        <w:t>za się strefę przejścia i przejazdu oznaczoną na rysunku planu, w której obowiązuje zakaz zabudowy do wysokości 4,2 m licząc od poziomu terenu, który to zakaz nie dotyczy pionowych elementów konstrukcyjnych budynku oraz elementów architektonicznych służący</w:t>
      </w:r>
      <w:r>
        <w:rPr>
          <w:color w:val="000000"/>
          <w:u w:color="000000"/>
        </w:rPr>
        <w:t>ch kształtowaniu powierzchni terenu, takich jak schody i pochylnie.</w:t>
      </w:r>
    </w:p>
    <w:p w:rsidR="00A77B3E" w:rsidRDefault="00141EAF">
      <w:pPr>
        <w:spacing w:before="6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szczegółowych zasad i warunków scalania i podziału nieruchomości ustala się: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powierzchnię działki – minimum 1000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 – minimum 20,0 m;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</w:t>
      </w:r>
      <w:r>
        <w:rPr>
          <w:color w:val="000000"/>
          <w:u w:color="000000"/>
        </w:rPr>
        <w:t>ołożenia granic działki w stosunku do pasa drogowego – od 75º do 105º.</w:t>
      </w:r>
    </w:p>
    <w:p w:rsidR="00A77B3E" w:rsidRDefault="00141EAF">
      <w:pPr>
        <w:keepLines/>
        <w:spacing w:before="240"/>
        <w:ind w:firstLine="567"/>
        <w:rPr>
          <w:color w:val="000000"/>
          <w:u w:color="000000"/>
        </w:rPr>
      </w:pPr>
      <w:r>
        <w:t>§ 19. 1. </w:t>
      </w:r>
      <w:r>
        <w:rPr>
          <w:color w:val="000000"/>
          <w:u w:color="000000"/>
        </w:rPr>
        <w:t xml:space="preserve">Dla terenu oznaczonego na rysunku planu symbolem </w:t>
      </w:r>
      <w:r>
        <w:rPr>
          <w:b/>
          <w:color w:val="000000"/>
          <w:u w:color="000000"/>
        </w:rPr>
        <w:t>3MW-U</w:t>
      </w:r>
      <w:r>
        <w:rPr>
          <w:color w:val="000000"/>
          <w:u w:color="000000"/>
        </w:rPr>
        <w:t xml:space="preserve"> obowiązują ustalenia zawarte w kolejnych ustępach niniejszego paragrafu.</w:t>
      </w:r>
    </w:p>
    <w:p w:rsidR="00A77B3E" w:rsidRDefault="00141EAF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zabudowy mieszkaniowej wielorodzinnej lub usług, z wykluczeniem terenu usług handlu wielkopowierzchniowego;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komunikacji drogowej wewnętrznej,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garażu,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 infrastrukt</w:t>
      </w:r>
      <w:r>
        <w:rPr>
          <w:color w:val="000000"/>
          <w:u w:color="000000"/>
        </w:rPr>
        <w:t>ury technicznej z wykluczeniem terenu: magazynu gazu, obsługi produktów naftowych i gospodarowania odpadami.</w:t>
      </w:r>
    </w:p>
    <w:p w:rsidR="00A77B3E" w:rsidRDefault="00141EAF">
      <w:pPr>
        <w:spacing w:before="6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zasad ochrony dziedzictwa kulturowego i zabytków wskazuje się zabytek wraz z elementami i parametrami zabytku podlegającymi ochronie: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2029"/>
        <w:gridCol w:w="6342"/>
      </w:tblGrid>
      <w:tr w:rsidR="00444329">
        <w:trPr>
          <w:trHeight w:val="1109"/>
        </w:trPr>
        <w:tc>
          <w:tcPr>
            <w:tcW w:w="91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41EAF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Symbol na rysunku planu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41EAF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Nazwa zabytku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41EAF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Elementy i parametry zabytku podlegające ochronie</w:t>
            </w:r>
          </w:p>
        </w:tc>
      </w:tr>
      <w:tr w:rsidR="00444329">
        <w:trPr>
          <w:trHeight w:val="1013"/>
        </w:trPr>
        <w:tc>
          <w:tcPr>
            <w:tcW w:w="91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41EAF">
            <w:pPr>
              <w:jc w:val="center"/>
              <w:rPr>
                <w:color w:val="000000"/>
                <w:u w:color="000000"/>
              </w:rPr>
            </w:pPr>
            <w:r>
              <w:lastRenderedPageBreak/>
              <w:t>E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141EAF">
            <w:pPr>
              <w:jc w:val="left"/>
              <w:rPr>
                <w:color w:val="000000"/>
                <w:u w:color="000000"/>
              </w:rPr>
            </w:pPr>
            <w:r>
              <w:rPr>
                <w:sz w:val="20"/>
              </w:rPr>
              <w:t xml:space="preserve">kamienica – budynek frontowy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41EAF">
            <w:pPr>
              <w:rPr>
                <w:color w:val="000000"/>
                <w:u w:color="000000"/>
              </w:rPr>
            </w:pPr>
            <w:r>
              <w:rPr>
                <w:sz w:val="20"/>
              </w:rPr>
              <w:t>1) elewacje frontowe i elewacja tylna:</w:t>
            </w:r>
          </w:p>
          <w:p w:rsidR="00444329" w:rsidRDefault="00141EAF">
            <w:r>
              <w:rPr>
                <w:sz w:val="20"/>
              </w:rPr>
              <w:t>a) układ kompozycyjny elewacji,</w:t>
            </w:r>
          </w:p>
          <w:p w:rsidR="00444329" w:rsidRDefault="00141EAF">
            <w:r>
              <w:rPr>
                <w:sz w:val="20"/>
              </w:rPr>
              <w:t>b) detal architektoniczny;</w:t>
            </w:r>
          </w:p>
          <w:p w:rsidR="00444329" w:rsidRDefault="00141EAF">
            <w:r>
              <w:rPr>
                <w:sz w:val="20"/>
              </w:rPr>
              <w:t>2) przejazd bramowy – boazeria i odb</w:t>
            </w:r>
            <w:r>
              <w:rPr>
                <w:sz w:val="20"/>
              </w:rPr>
              <w:t>oje</w:t>
            </w:r>
          </w:p>
        </w:tc>
      </w:tr>
    </w:tbl>
    <w:p w:rsidR="00A77B3E" w:rsidRDefault="00141EAF">
      <w:pPr>
        <w:spacing w:before="6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warunków zabudowy i zagospodarowania terenu oraz zasad ochrony</w:t>
      </w:r>
      <w:r>
        <w:rPr>
          <w:color w:val="000000"/>
          <w:u w:color="000000"/>
        </w:rPr>
        <w:br/>
        <w:t>i kształtowania ładu przestrzennego ustala się: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wskaźniki zagospodarowania terenu: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udział powierzchni zabudowy – maksimum 0,65, z zastrzeżeniem:</w:t>
      </w:r>
    </w:p>
    <w:p w:rsidR="00A77B3E" w:rsidRDefault="00141EAF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 działek narożnych o </w:t>
      </w:r>
      <w:r>
        <w:rPr>
          <w:color w:val="000000"/>
          <w:u w:color="000000"/>
        </w:rPr>
        <w:t>powierzchni do 1000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włącznie – maksimum 1,0,</w:t>
      </w:r>
    </w:p>
    <w:p w:rsidR="00A77B3E" w:rsidRDefault="00141EAF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działek, na których udział powierzchni zabudowy istniejącej w dniu wejścia w życie planu przekracza 0,55 – maksimum 0,8,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nadziemną intensywność zabudowy – minimum 1,0, maksimum 3,7, z zastrzeżeniem:</w:t>
      </w:r>
    </w:p>
    <w:p w:rsidR="00A77B3E" w:rsidRDefault="00141EAF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 działek narożnych o powierzchni do 1000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włącznie – maksimum 5,0,</w:t>
      </w:r>
    </w:p>
    <w:p w:rsidR="00A77B3E" w:rsidRDefault="00141EAF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działek, na których udział powierzchni zabudowy istniejącej w dniu wejścia w życie planu przekracza 0,55 – maksimum 4,2,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udział powierzchni biologicznie czynnej – minimum 0,2, z zast</w:t>
      </w:r>
      <w:r>
        <w:rPr>
          <w:color w:val="000000"/>
          <w:u w:color="000000"/>
        </w:rPr>
        <w:t>rzeżeniem działek narożnych o powierzchni do 1000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włącznie – minimum 0,05,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dla działek, na których przedmiotem inwestycji jest realizacja nadziemnego obiektu lub jego części o funkcji parkingowej o maksymalnie 2 kondygnacjach i powierzchni zabudowy s</w:t>
      </w:r>
      <w:r>
        <w:rPr>
          <w:color w:val="000000"/>
          <w:u w:color="000000"/>
        </w:rPr>
        <w:t>tanowiącej co najmniej połowę powierzchni działki, a także przykrycie podwórzy i dziedzińców przeziernymi zadaszeniami, dopuszcza się zwiększenie maksymalnych wskaźników:</w:t>
      </w:r>
    </w:p>
    <w:p w:rsidR="00A77B3E" w:rsidRDefault="00141EAF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udziału powierzchni zabudowy – do 1,0,</w:t>
      </w:r>
    </w:p>
    <w:p w:rsidR="00A77B3E" w:rsidRDefault="00141EAF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nadziemnej intensywności zabudowy: o 0,35 </w:t>
      </w:r>
      <w:r>
        <w:rPr>
          <w:color w:val="000000"/>
          <w:u w:color="000000"/>
        </w:rPr>
        <w:t>w przypadku realizacji garażu wielostanowiskowego nadziemnego o 1 kondygnacji lub przykrycia podwórzy i dziedzińców oraz o 0,7 w przypadku realizacji garażu wielostanowiskowego nadziemnego o 2 kondygnacjach;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parametry kształtowania zabudowy: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wysokość</w:t>
      </w:r>
      <w:r>
        <w:rPr>
          <w:color w:val="000000"/>
          <w:u w:color="000000"/>
        </w:rPr>
        <w:t xml:space="preserve"> zabudowy – maksimum 21 m,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dopuszcza się zwiększenie maksymalnej wysokości zabudowy o 3,80 m wyłącznie dla zabudowy typu penthouse,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wysokość parteru elewacji frontowej – minimum 3,5 m,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dachy płaskie.</w:t>
      </w:r>
    </w:p>
    <w:p w:rsidR="00A77B3E" w:rsidRDefault="00141EAF">
      <w:pPr>
        <w:spacing w:before="60"/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W zakresie szczegółowych zasad i warunków sc</w:t>
      </w:r>
      <w:r>
        <w:rPr>
          <w:color w:val="000000"/>
          <w:u w:color="000000"/>
        </w:rPr>
        <w:t>alania i podziału nieruchomości ustala się: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powierzchnię działki – minimum 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 – minimum 20,0 m;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do pasa drogowego – 90º z tolerancją 2º.</w:t>
      </w:r>
    </w:p>
    <w:p w:rsidR="00A77B3E" w:rsidRDefault="00141EAF">
      <w:pPr>
        <w:keepLines/>
        <w:spacing w:before="240"/>
        <w:ind w:firstLine="567"/>
        <w:rPr>
          <w:color w:val="000000"/>
          <w:u w:color="000000"/>
        </w:rPr>
      </w:pPr>
      <w:r>
        <w:t>§ 20. 1. </w:t>
      </w:r>
      <w:r>
        <w:rPr>
          <w:color w:val="000000"/>
          <w:u w:color="000000"/>
        </w:rPr>
        <w:t>Dla terenu oznaczonego na rysun</w:t>
      </w:r>
      <w:r>
        <w:rPr>
          <w:color w:val="000000"/>
          <w:u w:color="000000"/>
        </w:rPr>
        <w:t xml:space="preserve">ku planu symbolem </w:t>
      </w:r>
      <w:r>
        <w:rPr>
          <w:b/>
          <w:color w:val="000000"/>
          <w:u w:color="000000"/>
        </w:rPr>
        <w:t>1KOR</w:t>
      </w:r>
      <w:r>
        <w:rPr>
          <w:color w:val="000000"/>
          <w:u w:color="000000"/>
        </w:rPr>
        <w:t xml:space="preserve"> obowiązują ustalenia zawarte w kolejnych ustępach niniejszego paragrafu.</w:t>
      </w:r>
    </w:p>
    <w:p w:rsidR="00A77B3E" w:rsidRDefault="00141EAF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placu lub rynku;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teren komunikacji </w:t>
      </w:r>
      <w:r>
        <w:rPr>
          <w:color w:val="000000"/>
          <w:u w:color="000000"/>
        </w:rPr>
        <w:t>drogowej wewnętrznej,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garażu,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 parkingu,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teren infrastruktury technicznej z wykluczeniem terenu: magazynu gazu, obsługi produktów naftowych i gospodarowania odpadami.</w:t>
      </w:r>
    </w:p>
    <w:p w:rsidR="00A77B3E" w:rsidRDefault="00141EAF">
      <w:pPr>
        <w:spacing w:before="60"/>
        <w:ind w:firstLine="567"/>
        <w:rPr>
          <w:color w:val="000000"/>
          <w:u w:color="000000"/>
        </w:rPr>
      </w:pPr>
      <w:r>
        <w:lastRenderedPageBreak/>
        <w:t>3. </w:t>
      </w:r>
      <w:r>
        <w:rPr>
          <w:color w:val="000000"/>
          <w:u w:color="000000"/>
        </w:rPr>
        <w:t xml:space="preserve">W zakresie warunków zabudowy i zagospodarowania terenu oraz zasad </w:t>
      </w:r>
      <w:r>
        <w:rPr>
          <w:color w:val="000000"/>
          <w:u w:color="000000"/>
        </w:rPr>
        <w:t>ochrony i kształtowania ładu przestrzennego ustala się: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nieprzekraczalną linię zabudowy tożsamą z linią rozgraniczającą terenu;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wskaźniki zagospodarowania terenu: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udział powierzchni zabudowy – maksimum 0,05,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nadziemna intensywność zabudowy – mi</w:t>
      </w:r>
      <w:r>
        <w:rPr>
          <w:color w:val="000000"/>
          <w:u w:color="000000"/>
        </w:rPr>
        <w:t>nimum 0,0, maksimum 0,05,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udział powierzchni biologicznie czynnej – minimum 0,1;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parametry kształtowania zabudowy: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wysokość zabudowy – maksimum 3 m,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dachy płaskie;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 xml:space="preserve">zasady kształtowania przestrzeni publicznych i zabudowy oraz lokalizacji </w:t>
      </w:r>
      <w:r>
        <w:rPr>
          <w:color w:val="000000"/>
          <w:u w:color="000000"/>
        </w:rPr>
        <w:t>obiektów i funkcji – zakaz: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lokalizacji budynków, z wyjątkiem garaży wielostanowiskowych podziemnych,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wyniesienia kondygnacji podziemnej garażu wielostanowiskowego ponad poziom gruntu;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 xml:space="preserve">w zakresie szczegółowych zasad i warunków scalania i podziału </w:t>
      </w:r>
      <w:r>
        <w:rPr>
          <w:color w:val="000000"/>
          <w:u w:color="000000"/>
        </w:rPr>
        <w:t>nieruchomości ustala się: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powierzchnię działki – minimum 1600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szerokość frontu działki – minimum 15,0 m,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kąt położenia granic działki w stosunku do pasa drogowego – 90º z tolerancją 2º.</w:t>
      </w:r>
    </w:p>
    <w:p w:rsidR="00A77B3E" w:rsidRDefault="00141EAF">
      <w:pPr>
        <w:keepLines/>
        <w:spacing w:before="240"/>
        <w:ind w:firstLine="567"/>
        <w:rPr>
          <w:color w:val="000000"/>
          <w:u w:color="000000"/>
        </w:rPr>
      </w:pPr>
      <w:r>
        <w:t>§ 21. 1. </w:t>
      </w:r>
      <w:r>
        <w:rPr>
          <w:color w:val="000000"/>
          <w:u w:color="000000"/>
        </w:rPr>
        <w:t xml:space="preserve">Dla terenów oznaczonych na rysunku planu symbolami: </w:t>
      </w:r>
      <w:r>
        <w:rPr>
          <w:b/>
          <w:color w:val="000000"/>
          <w:u w:color="000000"/>
        </w:rPr>
        <w:t xml:space="preserve">1KDL, 1KDD i 2KDD </w:t>
      </w:r>
      <w:r>
        <w:rPr>
          <w:color w:val="000000"/>
          <w:u w:color="000000"/>
        </w:rPr>
        <w:t>obowiązują ustalenia zawarte w kolejnych ustępach niniejszego paragrafu.</w:t>
      </w:r>
    </w:p>
    <w:p w:rsidR="00A77B3E" w:rsidRDefault="00141EAF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terenu 1KDL – teren drogi loka</w:t>
      </w:r>
      <w:r>
        <w:rPr>
          <w:color w:val="000000"/>
          <w:u w:color="000000"/>
        </w:rPr>
        <w:t>lnej,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terenów 1KDD i 2KDD – teren drogi dojazdowej;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teren infrastruktury technicznej z wykluczeniem terenu: magazynu gazu, obsługi produktów naftowych i gospodarowania odpadami.</w:t>
      </w:r>
    </w:p>
    <w:p w:rsidR="00A77B3E" w:rsidRDefault="00141EAF">
      <w:pPr>
        <w:spacing w:before="6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i parametrów fu</w:t>
      </w:r>
      <w:r>
        <w:rPr>
          <w:color w:val="000000"/>
          <w:u w:color="000000"/>
        </w:rPr>
        <w:t>nkcjonalno-technicznych ustala się: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ulicy oznaczonej na rysunku planu symbolem 1KDL – fragment ul. Wysokiej: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klasę L – lokalna,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szerokość pomiędzy linią rozgraniczającą, a granicą obszaru objętego planem zmienną od 0 m do 4,8 m, zgodnie z rysu</w:t>
      </w:r>
      <w:r>
        <w:rPr>
          <w:color w:val="000000"/>
          <w:u w:color="000000"/>
        </w:rPr>
        <w:t>nkiem planu;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ulicy oznaczonej na rysunku planu symbolem 1KDD – ul. Wodna: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klasę D – dojazdowa,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szerokość pomiędzy linią rozgraniczającą, a granicą obszaru objętego planem zmienną od 15,1 m do 17,2 m, zgodnie z rysunkiem planu;</w:t>
      </w:r>
    </w:p>
    <w:p w:rsidR="00A77B3E" w:rsidRDefault="00141EAF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ulicy ozn</w:t>
      </w:r>
      <w:r>
        <w:rPr>
          <w:color w:val="000000"/>
          <w:u w:color="000000"/>
        </w:rPr>
        <w:t>aczonej na rysunku planu symbolem 2KDD – ulica projektowana: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klasę D – dojazdowa,</w:t>
      </w:r>
    </w:p>
    <w:p w:rsidR="00A77B3E" w:rsidRDefault="00141EAF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szerokość w liniach rozgraniczających 15,0 m.</w:t>
      </w:r>
    </w:p>
    <w:p w:rsidR="00A77B3E" w:rsidRDefault="00141EAF">
      <w:pPr>
        <w:spacing w:before="6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Podane szerokości w liniach rozgraniczających nie obejmują lokalnych poszerzeń i narożnych ścięć linii rozgraniczającyc</w:t>
      </w:r>
      <w:r>
        <w:rPr>
          <w:color w:val="000000"/>
          <w:u w:color="000000"/>
        </w:rPr>
        <w:t>h przy łukach drogi i skrzyżowaniach, zgodnie z rysunkiem planu.</w:t>
      </w:r>
    </w:p>
    <w:p w:rsidR="00A77B3E" w:rsidRDefault="00141EAF">
      <w:pPr>
        <w:keepNext/>
        <w:spacing w:before="480" w:after="480"/>
        <w:jc w:val="center"/>
        <w:rPr>
          <w:color w:val="000000"/>
          <w:u w:color="000000"/>
        </w:rPr>
      </w:pPr>
      <w:r>
        <w:rPr>
          <w:b/>
        </w:rPr>
        <w:lastRenderedPageBreak/>
        <w:t>Rozdział 4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Przepisy końcowe</w:t>
      </w:r>
    </w:p>
    <w:p w:rsidR="00A77B3E" w:rsidRDefault="00141EAF">
      <w:pPr>
        <w:keepLines/>
        <w:spacing w:before="240"/>
        <w:ind w:firstLine="567"/>
        <w:rPr>
          <w:color w:val="000000"/>
          <w:u w:color="000000"/>
        </w:rPr>
      </w:pPr>
      <w:r>
        <w:t>§ 22. </w:t>
      </w:r>
      <w:r>
        <w:rPr>
          <w:color w:val="000000"/>
          <w:u w:color="000000"/>
        </w:rPr>
        <w:t>Dane przestrzenne dla planu w postaci dokumentu elektronicznego, o których mowa w art. 67a ust. 3 ustawy, stanowią załącznik Nr 4 do uchwały.</w:t>
      </w:r>
    </w:p>
    <w:p w:rsidR="00A77B3E" w:rsidRDefault="00141EAF">
      <w:pPr>
        <w:keepLines/>
        <w:spacing w:before="240"/>
        <w:ind w:firstLine="567"/>
        <w:rPr>
          <w:color w:val="000000"/>
          <w:u w:color="000000"/>
        </w:rPr>
      </w:pPr>
      <w:r>
        <w:t>§ 23. </w:t>
      </w:r>
      <w:r>
        <w:rPr>
          <w:color w:val="000000"/>
          <w:u w:color="000000"/>
        </w:rPr>
        <w:t>Wykonanie</w:t>
      </w:r>
      <w:r>
        <w:rPr>
          <w:color w:val="000000"/>
          <w:u w:color="000000"/>
        </w:rPr>
        <w:t xml:space="preserve"> uchwały powierza się Prezydentowi Miasta Łodzi.</w:t>
      </w:r>
    </w:p>
    <w:p w:rsidR="00A77B3E" w:rsidRDefault="00141EAF">
      <w:pPr>
        <w:keepLines/>
        <w:spacing w:before="240"/>
        <w:ind w:firstLine="567"/>
        <w:rPr>
          <w:color w:val="000000"/>
          <w:u w:color="000000"/>
        </w:rPr>
      </w:pPr>
      <w:r>
        <w:t>§ 24. </w:t>
      </w:r>
      <w:r>
        <w:rPr>
          <w:color w:val="000000"/>
          <w:u w:color="000000"/>
        </w:rPr>
        <w:t>Traci moc uchwała Nr III/40/14 Rady Miejskiej w Łodzi z dnia 29 grudnia 2014 r. w sprawie uchwalenia miejscowego planu zagospodarowania przestrzennego dla części obszaru miasta Łodzi położonej w rejoni</w:t>
      </w:r>
      <w:r>
        <w:rPr>
          <w:color w:val="000000"/>
          <w:u w:color="000000"/>
        </w:rPr>
        <w:t>e ulic: Prezydenta Gabriela Narutowicza, dr. Stefana Kopcińskiego i Juliana Tuwima na wschód od planowanego przedłużenia ulicy Uniwersyteckiej (Dz. Urz. Woj. Łódzkiego z 2015 r. poz. 258, z 2019 r. poz. 3272, z 2020 r. poz. 735 oraz z 2021 r. poz. 645 i 64</w:t>
      </w:r>
      <w:r>
        <w:rPr>
          <w:color w:val="000000"/>
          <w:u w:color="000000"/>
        </w:rPr>
        <w:t>6) – w części odnoszącej się do obszaru objętego ustaleniami uchwały.</w:t>
      </w:r>
    </w:p>
    <w:p w:rsidR="00A77B3E" w:rsidRDefault="00141EAF">
      <w:pPr>
        <w:keepNext/>
        <w:keepLines/>
        <w:spacing w:before="240"/>
        <w:ind w:firstLine="567"/>
        <w:rPr>
          <w:color w:val="000000"/>
          <w:u w:color="000000"/>
        </w:rPr>
      </w:pPr>
      <w:r>
        <w:t>§ 25. </w:t>
      </w:r>
      <w:r>
        <w:rPr>
          <w:color w:val="000000"/>
          <w:u w:color="000000"/>
        </w:rPr>
        <w:t>Uchwała wchodzi w życie po upływie 14 dni od dnia jej ogłoszenia w Dzienniku Urzędowym Województwa Łódzkiego.</w:t>
      </w:r>
    </w:p>
    <w:p w:rsidR="00A77B3E" w:rsidRDefault="00141EAF">
      <w:pPr>
        <w:keepNext/>
        <w:keepLines/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  </w:t>
      </w:r>
    </w:p>
    <w:p w:rsidR="00A77B3E" w:rsidRDefault="00141EAF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7"/>
        <w:gridCol w:w="4995"/>
      </w:tblGrid>
      <w:tr w:rsidR="00444329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329" w:rsidRDefault="00444329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329" w:rsidRDefault="00141EAF">
            <w:pPr>
              <w:keepNext/>
              <w:keepLines/>
              <w:spacing w:before="200"/>
              <w:ind w:left="2268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:rsidR="00A77B3E" w:rsidRDefault="00141EAF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Pro</w:t>
      </w:r>
      <w:r>
        <w:rPr>
          <w:color w:val="000000"/>
          <w:u w:color="000000"/>
        </w:rPr>
        <w:t>jektodawcą jest</w:t>
      </w:r>
    </w:p>
    <w:p w:rsidR="00A77B3E" w:rsidRDefault="00141EAF">
      <w:pPr>
        <w:spacing w:before="100" w:after="100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:rsidR="00A77B3E" w:rsidRDefault="00141EAF">
      <w:pPr>
        <w:spacing w:before="320" w:after="320" w:line="276" w:lineRule="auto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dnia.................... r.</w:t>
      </w:r>
    </w:p>
    <w:p w:rsidR="00A77B3E" w:rsidRDefault="00141EAF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>
            <wp:extent cx="5760720" cy="6636730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3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41EAF">
      <w:pPr>
        <w:spacing w:before="100" w:after="10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ZBIORCZY</w:t>
      </w:r>
    </w:p>
    <w:p w:rsidR="00A77B3E" w:rsidRDefault="00141EAF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4987040" cy="8630464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7040" cy="863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41EAF">
      <w:pPr>
        <w:spacing w:before="100" w:after="10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1</w:t>
      </w:r>
    </w:p>
    <w:p w:rsidR="00A77B3E" w:rsidRDefault="00141EAF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4974500" cy="8592318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4500" cy="859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41EAF">
      <w:pPr>
        <w:spacing w:before="100" w:after="10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2</w:t>
      </w:r>
    </w:p>
    <w:p w:rsidR="00A77B3E" w:rsidRDefault="00141EAF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4996584" cy="8630464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6584" cy="863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41EAF">
      <w:pPr>
        <w:spacing w:before="100" w:after="10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3</w:t>
      </w:r>
    </w:p>
    <w:p w:rsidR="00A77B3E" w:rsidRDefault="00141EAF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4986291" cy="8620927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6291" cy="862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41EAF">
      <w:pPr>
        <w:spacing w:before="100" w:after="10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4</w:t>
      </w:r>
    </w:p>
    <w:p w:rsidR="00A77B3E" w:rsidRDefault="00141EAF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000415" cy="8637081"/>
            <wp:effectExtent l="0" t="0" r="0" b="0"/>
            <wp:docPr id="100011" name="Obraz 10001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00415" cy="863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41EAF">
      <w:pPr>
        <w:spacing w:before="100" w:after="10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5</w:t>
      </w:r>
    </w:p>
    <w:p w:rsidR="00A77B3E" w:rsidRDefault="00141EAF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000415" cy="8637081"/>
            <wp:effectExtent l="0" t="0" r="0" b="0"/>
            <wp:docPr id="100013" name="Obraz 10001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00415" cy="863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41EAF">
      <w:pPr>
        <w:spacing w:before="100" w:after="10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6</w:t>
      </w:r>
    </w:p>
    <w:p w:rsidR="00A77B3E" w:rsidRDefault="00141EAF">
      <w:pPr>
        <w:spacing w:before="100" w:after="10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3347" cy="4515416"/>
            <wp:effectExtent l="0" t="0" r="0" b="0"/>
            <wp:docPr id="100015" name="Obraz 10001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3347" cy="451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41EAF">
      <w:pPr>
        <w:spacing w:before="100" w:after="100"/>
        <w:jc w:val="center"/>
        <w:rPr>
          <w:color w:val="000000"/>
          <w:u w:color="000000"/>
        </w:rPr>
        <w:sectPr w:rsidR="00A77B3E">
          <w:footerReference w:type="default" r:id="rId23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LEGENDA</w:t>
      </w:r>
    </w:p>
    <w:p w:rsidR="00A77B3E" w:rsidRDefault="00141EAF">
      <w:pPr>
        <w:keepNext/>
        <w:spacing w:before="320" w:after="320" w:line="276" w:lineRule="auto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dnia.................... r.</w:t>
      </w:r>
    </w:p>
    <w:p w:rsidR="00A77B3E" w:rsidRDefault="00141EAF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Rozstrzygnięcie o sposobie rozpatrzenia uwag do projektu planu </w:t>
      </w:r>
      <w:r>
        <w:rPr>
          <w:b/>
          <w:color w:val="000000"/>
          <w:u w:color="000000"/>
        </w:rPr>
        <w:t>złożonych w trakcie konsultacji społecznych.</w:t>
      </w:r>
    </w:p>
    <w:p w:rsidR="00A77B3E" w:rsidRDefault="00141EAF">
      <w:pPr>
        <w:keepNext/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W trakcie konsultacji społecznych, prowadzonych w okresie od 4 listopada 2025 r. do 2 grudnia 2025 r., nie złożono uwag do projektu planu.</w:t>
      </w:r>
    </w:p>
    <w:p w:rsidR="00A77B3E" w:rsidRDefault="00141EAF">
      <w:pPr>
        <w:keepNext/>
        <w:keepLines/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 </w:t>
      </w:r>
    </w:p>
    <w:p w:rsidR="00A77B3E" w:rsidRDefault="00141EAF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7"/>
        <w:gridCol w:w="4995"/>
      </w:tblGrid>
      <w:tr w:rsidR="00444329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329" w:rsidRDefault="00444329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329" w:rsidRDefault="00141EAF">
            <w:pPr>
              <w:keepNext/>
              <w:keepLines/>
              <w:spacing w:before="200"/>
              <w:ind w:left="2268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:rsidR="00A77B3E" w:rsidRDefault="00A77B3E">
      <w:pPr>
        <w:keepNext/>
        <w:rPr>
          <w:color w:val="000000"/>
          <w:u w:color="000000"/>
        </w:rPr>
        <w:sectPr w:rsidR="00A77B3E">
          <w:footerReference w:type="default" r:id="rId24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A77B3E" w:rsidRDefault="00141EAF">
      <w:pPr>
        <w:keepNext/>
        <w:spacing w:before="320" w:after="320" w:line="276" w:lineRule="auto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dnia.................... r.</w:t>
      </w:r>
    </w:p>
    <w:p w:rsidR="00A77B3E" w:rsidRDefault="00141EAF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o sposobie realizacji, zapisanych w planie, inwestycji z zakresu infrastruktury technicznej, które należą do zadań</w:t>
      </w:r>
      <w:r>
        <w:rPr>
          <w:b/>
          <w:color w:val="000000"/>
          <w:u w:color="000000"/>
        </w:rPr>
        <w:t xml:space="preserve"> własnych gminy oraz zasadach ich finansowania, zgodnie z przepisami o finansach publicznych.</w:t>
      </w:r>
    </w:p>
    <w:p w:rsidR="00A77B3E" w:rsidRDefault="00141EAF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Do zadań z zakresu infrastruktury technicznej będących zadaniami własnymi gminy w planie należy:</w:t>
      </w:r>
    </w:p>
    <w:p w:rsidR="00A77B3E" w:rsidRDefault="00141EAF">
      <w:pPr>
        <w:spacing w:before="100" w:after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- budowa dróg publicznych wraz z realizacją chodników,</w:t>
      </w:r>
    </w:p>
    <w:p w:rsidR="00A77B3E" w:rsidRDefault="00141EAF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- wyposaże</w:t>
      </w:r>
      <w:r>
        <w:rPr>
          <w:color w:val="000000"/>
          <w:u w:color="000000"/>
        </w:rPr>
        <w:t>nie terenów dróg publicznych w sieć oświetlenia ulicznego,</w:t>
      </w:r>
    </w:p>
    <w:p w:rsidR="00A77B3E" w:rsidRDefault="00141EAF">
      <w:pPr>
        <w:spacing w:before="100" w:after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- wyposażenie terenu placu lub rynku w niezbędne oświetlenie,</w:t>
      </w:r>
    </w:p>
    <w:p w:rsidR="00A77B3E" w:rsidRDefault="00141EAF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- budowa sieci wodociągowej,</w:t>
      </w:r>
    </w:p>
    <w:p w:rsidR="00A77B3E" w:rsidRDefault="00141EAF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- budowa sieci kanalizacji sanitarnej,</w:t>
      </w:r>
    </w:p>
    <w:p w:rsidR="00A77B3E" w:rsidRDefault="00141EAF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- budowa sieci kanalizacji deszczowej.</w:t>
      </w:r>
    </w:p>
    <w:p w:rsidR="00A77B3E" w:rsidRDefault="00141EAF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 xml:space="preserve">Powyższe zadania będą </w:t>
      </w:r>
      <w:r>
        <w:rPr>
          <w:color w:val="000000"/>
          <w:u w:color="000000"/>
        </w:rPr>
        <w:t>umieszczone w programach rozwoju poszczególnych elementów zagospodarowania, a następnie w zadaniach rzeczowych budżetu gminy objętych wieloletnią prognozą finansową.</w:t>
      </w:r>
    </w:p>
    <w:p w:rsidR="00A77B3E" w:rsidRDefault="00141EAF">
      <w:pPr>
        <w:keepNext/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Finansowanie będzie odbywało się w oparciu o budżet gminy, z wykorzystaniem funduszy struk</w:t>
      </w:r>
      <w:r>
        <w:rPr>
          <w:color w:val="000000"/>
          <w:u w:color="000000"/>
        </w:rPr>
        <w:t>turalnych Unii Europejskiej oraz środków Funduszu Ochrony Środowiska, a także innych możliwych do pozyskania środków zewnętrznych.</w:t>
      </w:r>
    </w:p>
    <w:p w:rsidR="00A77B3E" w:rsidRDefault="00141EAF">
      <w:pPr>
        <w:keepNext/>
        <w:keepLines/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 </w:t>
      </w:r>
    </w:p>
    <w:p w:rsidR="00A77B3E" w:rsidRDefault="00141EAF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7"/>
        <w:gridCol w:w="4995"/>
      </w:tblGrid>
      <w:tr w:rsidR="00444329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329" w:rsidRDefault="00444329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329" w:rsidRDefault="00141EAF">
            <w:pPr>
              <w:keepNext/>
              <w:keepLines/>
              <w:spacing w:before="200"/>
              <w:ind w:left="2268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:rsidR="00A77B3E" w:rsidRDefault="00A77B3E">
      <w:pPr>
        <w:keepNext/>
        <w:rPr>
          <w:color w:val="000000"/>
          <w:u w:color="000000"/>
        </w:rPr>
        <w:sectPr w:rsidR="00A77B3E">
          <w:footerReference w:type="default" r:id="rId25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A77B3E" w:rsidRDefault="00141EAF">
      <w:pPr>
        <w:keepNext/>
        <w:spacing w:before="120" w:after="120" w:line="276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4 </w:t>
      </w:r>
      <w:r>
        <w:rPr>
          <w:color w:val="000000"/>
          <w:u w:color="000000"/>
        </w:rPr>
        <w:br/>
      </w:r>
      <w:r>
        <w:rPr>
          <w:color w:val="000000"/>
          <w:u w:color="000000"/>
        </w:rPr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dnia.................... r.</w:t>
      </w:r>
      <w:r>
        <w:rPr>
          <w:color w:val="000000"/>
          <w:u w:color="000000"/>
        </w:rPr>
        <w:br/>
      </w:r>
      <w:hyperlink r:id="rId26" w:history="1">
        <w:r>
          <w:rPr>
            <w:rStyle w:val="Hipercze"/>
            <w:color w:val="000000"/>
            <w:u w:val="none" w:color="000000"/>
          </w:rPr>
          <w:t>Zalacznik4.gml</w:t>
        </w:r>
      </w:hyperlink>
    </w:p>
    <w:p w:rsidR="00A77B3E" w:rsidRDefault="00141EAF">
      <w:pPr>
        <w:keepNext/>
        <w:spacing w:after="480"/>
        <w:jc w:val="center"/>
        <w:rPr>
          <w:color w:val="000000"/>
          <w:u w:color="000000"/>
        </w:rPr>
        <w:sectPr w:rsidR="00A77B3E">
          <w:footerReference w:type="default" r:id="rId27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b/>
          <w:color w:val="000000"/>
          <w:u w:color="000000"/>
        </w:rPr>
        <w:br/>
        <w:t xml:space="preserve">Dane przestrzenne, o których mowa w art. 67a ust. 3 i 5 ustawy z dnia 27 marca 2003 r. o planowaniu </w:t>
      </w:r>
      <w:r>
        <w:rPr>
          <w:b/>
          <w:color w:val="000000"/>
          <w:u w:color="000000"/>
        </w:rPr>
        <w:t>i zagospodarowaniu przestrzennym ujawnione zostaną po kliknięciu w ikonę.</w:t>
      </w:r>
    </w:p>
    <w:p w:rsidR="00444329" w:rsidRDefault="00444329">
      <w:pPr>
        <w:rPr>
          <w:szCs w:val="20"/>
        </w:rPr>
      </w:pPr>
    </w:p>
    <w:p w:rsidR="00444329" w:rsidRDefault="00141EAF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:rsidR="00444329" w:rsidRDefault="00141EAF">
      <w:pPr>
        <w:spacing w:before="100" w:after="100"/>
        <w:jc w:val="center"/>
        <w:rPr>
          <w:color w:val="000000"/>
          <w:szCs w:val="20"/>
          <w:u w:color="000000"/>
        </w:rPr>
      </w:pPr>
      <w:r>
        <w:rPr>
          <w:b/>
          <w:szCs w:val="20"/>
        </w:rPr>
        <w:t>do projektu uchwały w sprawie uchwalenia miejscowego planu zagospodarowania przestrzennego dla części obszaru miasta Łodzi położonej w rejonie alei Rodziny Grohmanów or</w:t>
      </w:r>
      <w:r>
        <w:rPr>
          <w:b/>
          <w:szCs w:val="20"/>
        </w:rPr>
        <w:t>az ulic: Wysokiej, Juliana Tuwima i Wodnej.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Zgodnie z podjętą uchwałą Nr V/144/24 Rady Miejskiej w Łodzi z dnia 28 sierpnia 2024 r. przystąpiono do sporządzenia projektu miejscowego planu zagospodarowania przestrzennego dla części obszaru miasta Łodzi poło</w:t>
      </w:r>
      <w:r>
        <w:rPr>
          <w:color w:val="000000"/>
          <w:szCs w:val="20"/>
          <w:u w:color="000000"/>
        </w:rPr>
        <w:t>żonej w rejonie alei Rodziny Grohmanów oraz ulic: Wysokiej, Juliana Tuwima i Wodnej.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Obszar objęty projektem planu miejscowego, o powierzchni około 2 ha, położony jest w centralnej części Łodzi, w obrębie Nowego Centrum Łodzi, na obszarze osiedli Śródmieśc</w:t>
      </w:r>
      <w:r>
        <w:rPr>
          <w:color w:val="000000"/>
          <w:szCs w:val="20"/>
          <w:u w:color="000000"/>
        </w:rPr>
        <w:t>ie – Wschód i Stary Widzew. Ograniczony jest od północy – aleją Rodziny Grohmanów, od południa – ul. Juliana Tuwima, od zachodu – ul. Wodną, natomiast od strony wschodniej – ul. Wysoką. Na obszarze objętym planem zlokalizowane są zabudowane nieruchomości o</w:t>
      </w:r>
      <w:r>
        <w:rPr>
          <w:color w:val="000000"/>
          <w:szCs w:val="20"/>
          <w:u w:color="000000"/>
        </w:rPr>
        <w:t> funkcji mieszkaniowej i usługowej, nieużytki oraz nieruchomości użytkowane jako parkingi.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 wyniku realizacji ww. uchwały został opracowany projekt planu miejscowego wraz z prognozą oddziaływania na środowisko. Po uchwaleniu plan miejscowy zastąpi obowiąz</w:t>
      </w:r>
      <w:r>
        <w:rPr>
          <w:color w:val="000000"/>
          <w:szCs w:val="20"/>
          <w:u w:color="000000"/>
        </w:rPr>
        <w:t>ujący miejscowy plan zagospodarowania przestrzennego dla części obszaru miasta Łodzi położonej w rejonie ulic: Prezydenta Gabriela Narutowicza, dr. Stefana Kopcińskiego i Juliana Tuwima na wschód od planowanego przedłużenia ulicy Uniwersyteckiej, zatwierdz</w:t>
      </w:r>
      <w:r>
        <w:rPr>
          <w:color w:val="000000"/>
          <w:szCs w:val="20"/>
          <w:u w:color="000000"/>
        </w:rPr>
        <w:t>ony uchwałą Nr III/40/14 Rady Miejskiej w Łodzi z dnia 29 grudnia 2014 r. (Dz. Urz. Woj. Łódzkiego z 2015 r. poz. 258, z 2019 r. poz. 3272, z 2020 r. poz. 735 oraz z 2021 r. poz. 645 i 646) – w części odnoszącej się do obszaru objętego ustaleniami projektu</w:t>
      </w:r>
      <w:r>
        <w:rPr>
          <w:color w:val="000000"/>
          <w:szCs w:val="20"/>
          <w:u w:color="000000"/>
        </w:rPr>
        <w:t xml:space="preserve"> uchwały.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Celem sporządzenia nowego miejscowego planu zagospodarowania przestrzennego dla obszaru, na którym plan miejscowy obecnie obowiązuje, jest potrzeba uelastycznienia rozwiązań planistycznych m.in. w zakresie wprowadzenia funkcji mieszkaniowej wielo</w:t>
      </w:r>
      <w:r>
        <w:rPr>
          <w:color w:val="000000"/>
          <w:szCs w:val="20"/>
          <w:u w:color="000000"/>
        </w:rPr>
        <w:t>rodzinnej dla terenu oznaczonego w planie obowiązującym symbolem 3.2.U oraz podniesienie wskaźników urbanistycznych w terenie, oznaczonym w planie obowiązującym symbolem 3.4.MW/U do poziomu, który przyjęto w planie obowiązującym dla sąsiednich terenów zlok</w:t>
      </w:r>
      <w:r>
        <w:rPr>
          <w:color w:val="000000"/>
          <w:szCs w:val="20"/>
          <w:u w:color="000000"/>
        </w:rPr>
        <w:t>alizowanych wzdłuż ul. Tuwima, charakteryzujących się tożsamą typologią zabudowy. W projekcie planu zmodyfikowano również przeznaczenie terenu ciągu pieszo-jezdnego, oznaczonego symbolem 2KDY w planie obowiązującym, na teren drogi dojazdowej oraz zmieniono</w:t>
      </w:r>
      <w:r>
        <w:rPr>
          <w:color w:val="000000"/>
          <w:szCs w:val="20"/>
          <w:u w:color="000000"/>
        </w:rPr>
        <w:t xml:space="preserve"> jego przebieg w taki sposób, aby był zgodny z przebiegiem terenu drogi publicznej 7KDD, wyznaczonego w planie miejscowym obowiązującym na zachód od ul. Wodnej. W projekcie planu został utrzymany teren placu publicznego, znajdujący się w północnej części o</w:t>
      </w:r>
      <w:r>
        <w:rPr>
          <w:color w:val="000000"/>
          <w:szCs w:val="20"/>
          <w:u w:color="000000"/>
        </w:rPr>
        <w:t>bszaru, aby zagwarantować dostęp do przestrzeni publicznej mieszkańcom tego kwartału, a także zachować zaprojektowane powiązania komunikacyjne, w tym piesze i rowerowe, pomiędzy ulicami Wodną a Wysoką, a także al. Rodziny Grohmanów poprzez ustalenie strefy</w:t>
      </w:r>
      <w:r>
        <w:rPr>
          <w:color w:val="000000"/>
          <w:szCs w:val="20"/>
          <w:u w:color="000000"/>
        </w:rPr>
        <w:t xml:space="preserve"> przejścia i przejazdu. W przypadku ustaleń dotyczących terenu 1MW-U przyjęto udział powierzchni całkowitej zabudowy oraz nadziemną intensywność zabudowy na poziomie, wynikającym z ustaleń planu obowiązującego (teren 3.1.MW/U), jednocześnie zwiększając udz</w:t>
      </w:r>
      <w:r>
        <w:rPr>
          <w:color w:val="000000"/>
          <w:szCs w:val="20"/>
          <w:u w:color="000000"/>
        </w:rPr>
        <w:t>iał powierzchni biologicznie czynnej. W wyniku rezygnacji z ochrony budynku magazynowego znajdującego się przy ul. Tramwajowej bn., który nie jest ujęty, ani przewidziany do ujęcia, w gminnej ewidencji zabytków, dla terenu 2MW-U przyjęto wskaźniki urbanist</w:t>
      </w:r>
      <w:r>
        <w:rPr>
          <w:color w:val="000000"/>
          <w:szCs w:val="20"/>
          <w:u w:color="000000"/>
        </w:rPr>
        <w:t xml:space="preserve">yczne odpowiadające intensywnej, wysokiej zabudowie, planowanej wzdłuż al. Rodziny Grohmanów w planie obowiązującym oraz uwzględnionej </w:t>
      </w:r>
      <w:r>
        <w:rPr>
          <w:color w:val="000000"/>
          <w:szCs w:val="20"/>
          <w:u w:color="000000"/>
        </w:rPr>
        <w:lastRenderedPageBreak/>
        <w:t>w ramach jednostki funkcjonalno-przestrzennej W3c – Nowe Centrum Łodzi, wyznaczonej w Studium.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Ustalenia planu miejscoweg</w:t>
      </w:r>
      <w:r>
        <w:rPr>
          <w:color w:val="000000"/>
          <w:szCs w:val="20"/>
          <w:u w:color="000000"/>
        </w:rPr>
        <w:t>o określają m.in.: przeznaczenie, zasady zabudowy i zagospodarowania terenu, wymagania wynikające z zasad ochrony i kształtowania ładu przestrzennego oraz z potrzeb kształtowania przestrzeni publicznych, zasady ochrony środowiska, przyrody i krajobrazu, gr</w:t>
      </w:r>
      <w:r>
        <w:rPr>
          <w:color w:val="000000"/>
          <w:szCs w:val="20"/>
          <w:u w:color="000000"/>
        </w:rPr>
        <w:t>anice i sposoby zagospodarowania krajobrazów priorytetowych, zasady ochrony dziedzictwa kulturowego i zabytków, w tym krajobrazów kulturowych, zasady i warunki scalania i podziału nieruchomości, szczególne warunki zagospodarowania terenów oraz ograniczenia</w:t>
      </w:r>
      <w:r>
        <w:rPr>
          <w:color w:val="000000"/>
          <w:szCs w:val="20"/>
          <w:u w:color="000000"/>
        </w:rPr>
        <w:t xml:space="preserve"> w ich użytkowaniu, zasady modernizacji, rozbudowy i budowy systemów komunikacji oraz systemowe rozwiązania w zakresie infrastruktury technicznej. Postępowanie zgodne z planem przyczyni się do zwiększenia atrakcyjności inwestycyjnej tego obszaru, co umożli</w:t>
      </w:r>
      <w:r>
        <w:rPr>
          <w:color w:val="000000"/>
          <w:szCs w:val="20"/>
          <w:u w:color="000000"/>
        </w:rPr>
        <w:t>wi wykształcenie nowych struktur przestrzennych o funkcji mieszkalno-usługowej, w otoczeniu węzła multimodalnego Łódź-Fabryczna, charakteryzującym się dobrze rozwiniętym układem komunikacyjnym oraz dostępem do przestrzeni publicznej.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Ze względu na brak pod</w:t>
      </w:r>
      <w:r>
        <w:rPr>
          <w:color w:val="000000"/>
          <w:szCs w:val="20"/>
          <w:u w:color="000000"/>
        </w:rPr>
        <w:t>staw wynikających ze stanu faktycznego, w przedmiotowym projekcie planu nie określono: zasad ochrony dóbr kultury współczesnej, granic i sposobów zagospodarowania terenów lub obiektów podlegających ochronie, na podstawie odrębnych przepisów, terenów górnic</w:t>
      </w:r>
      <w:r>
        <w:rPr>
          <w:color w:val="000000"/>
          <w:szCs w:val="20"/>
          <w:u w:color="000000"/>
        </w:rPr>
        <w:t>zych, a także obszarów szczególnego zagrożenia powodzią, obszarów osuwania się mas ziemnych oraz sposobu i terminu tymczasowego zagospodarowania, urządzania i użytkowania terenów.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 projekcie planu zrezygnowano z ustalania szczególnych warunków zagospodaro</w:t>
      </w:r>
      <w:r>
        <w:rPr>
          <w:color w:val="000000"/>
          <w:szCs w:val="20"/>
          <w:u w:color="000000"/>
        </w:rPr>
        <w:t>wania oraz ograniczeń w użytkowaniu terenów wynikających z występowania istniejących sieci kanalizacji sanitarnej, deszczowej, ciepłociągów wody gorącej oraz kablowej sieci elektroenergetycznej. Szczegółowe rozwiązania dotyczące ograniczeń w użytkowaniu ni</w:t>
      </w:r>
      <w:r>
        <w:rPr>
          <w:color w:val="000000"/>
          <w:szCs w:val="20"/>
          <w:u w:color="000000"/>
        </w:rPr>
        <w:t>eruchomości, przez które ta sieć przebiega, będą wdrażane na etapie realizacji inwestycji, na warunkach uzyskanych od gestora sieci. Wynika to z konieczności zapewnienia racjonalnych możliwości zagospodarowania i realizacji zabudowy na nieruchomościach prz</w:t>
      </w:r>
      <w:r>
        <w:rPr>
          <w:color w:val="000000"/>
          <w:szCs w:val="20"/>
          <w:u w:color="000000"/>
        </w:rPr>
        <w:t>eznaczonych na cele budowlane. Rezygnacja z ww. ustaleń podyktowana jest brakiem powszechnie obowiązujących przepisów prawnych wskazujących zakres ograniczeń w zagospodarowaniu terenu wynikających z występowania tej infrastruktury technicznej.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Projekt </w:t>
      </w:r>
      <w:r>
        <w:rPr>
          <w:color w:val="000000"/>
          <w:szCs w:val="20"/>
          <w:u w:color="000000"/>
        </w:rPr>
        <w:t>uchwały został przygotowany zgodnie z obowiązującym Studium uwarunkowań i kierunków zagospodarowania przestrzennego miasta Łodzi, przyjętym uchwałą Nr LXIX/1753/18 Rady Miejskiej w Łodzi z dnia 28 marca 2018 r., zmienioną uchwałami Rady Miejskiej w Łodzi N</w:t>
      </w:r>
      <w:r>
        <w:rPr>
          <w:color w:val="000000"/>
          <w:szCs w:val="20"/>
          <w:u w:color="000000"/>
        </w:rPr>
        <w:t>r VI/215/19 z dnia 6 marca 2019 r. i Nr LII/1605/21 z dnia 22 grudnia 2021 r. w związku z art. 67 ust. 3 pkt 2 ustawy z dnia 7 lipca 2023 r. o zmianie ustawy o planowaniu i zagospodarowaniu przestrzennym oraz niektórych innych ustaw (Dz. U. poz. 1688, z 20</w:t>
      </w:r>
      <w:r>
        <w:rPr>
          <w:color w:val="000000"/>
          <w:szCs w:val="20"/>
          <w:u w:color="000000"/>
        </w:rPr>
        <w:t>24 r. poz. 1824 oraz z 2025 r. poz. 527, 1543 i 1668). Dla obszaru objętego projektem planu miejscowego Studium wyznacza jednostkę funkcjonalno-przestrzenną W3c – Nowe Centrum Łodzi, znajdującą się w Strefie Wielkomiejskiej, w grupie terenów przekształcani</w:t>
      </w:r>
      <w:r>
        <w:rPr>
          <w:color w:val="000000"/>
          <w:szCs w:val="20"/>
          <w:u w:color="000000"/>
        </w:rPr>
        <w:t>a historycznej struktury przestrzennej.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Projekt planu został sporządzony zgodnie z zakresem art. 15 ustawy z dnia 27 marca 2003 r. o planowaniu i zagospodarowaniu przestrzennym (Dz. U. z 2024 r. poz. 1130, 1907 i 1940 oraz z 2025 r. poz. 527, 680, 1668 i 1</w:t>
      </w:r>
      <w:r>
        <w:rPr>
          <w:color w:val="000000"/>
          <w:szCs w:val="20"/>
          <w:u w:color="000000"/>
        </w:rPr>
        <w:t>847 oraz z 2026 r. poz. 24), uwzględniając wymogi wynikające z art. 1 ust. 2-4 ww. ustawy, natomiast procedura formalno-prawna sporządzenia planu miejscowego została przeprowadzona w trybie art. 17 ww. ustawy.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I. Sposób realizacji wymogów wynikających z ar</w:t>
      </w:r>
      <w:r>
        <w:rPr>
          <w:b/>
          <w:color w:val="000000"/>
          <w:szCs w:val="20"/>
          <w:u w:color="000000"/>
        </w:rPr>
        <w:t>t. 1 ust. 2 – 4 ustawy z dnia 27 marca 2003 r. o planowaniu i zagospodarowaniu przestrzennym.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1. W projekcie planu oraz w trakcie procedury jego sporządzania uwzględniono: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 wymagania ładu przestrzennego, w tym urbanistyki i architektury, poprzez określen</w:t>
      </w:r>
      <w:r>
        <w:rPr>
          <w:color w:val="000000"/>
          <w:szCs w:val="20"/>
          <w:u w:color="000000"/>
        </w:rPr>
        <w:t>ie: linii rozgraniczających, linii zabudowy, przeznaczenia terenów, wskaźników zagospodarowania terenów i parametrów kształtowania zabudowy, wymagań w zakresie kształtowania elewacji budynków i przestrzeni publicznych;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 potrzeby zrównoważonego rozwoju po</w:t>
      </w:r>
      <w:r>
        <w:rPr>
          <w:color w:val="000000"/>
          <w:szCs w:val="20"/>
          <w:u w:color="000000"/>
        </w:rPr>
        <w:t>przez wzmacnianie ruchu inwestycyjnego na obszarze o wykształconej strukturze przestrzennej, charakteryzującej się dostępem do sieci komunikacyjnej oraz infrastruktury technicznej;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 walory architektoniczne i krajobrazowe dzięki ustaleniom dotyczącym kszt</w:t>
      </w:r>
      <w:r>
        <w:rPr>
          <w:color w:val="000000"/>
          <w:szCs w:val="20"/>
          <w:u w:color="000000"/>
        </w:rPr>
        <w:t>ałtowania zabudowy i zagospodarowania terenów, w tym szczególnie poprzez: wskazanie zasięgu obszarowego krajobrazu priorytetowego wyznaczonego w Audycie krajobrazowym województwa łódzkiego oraz przyjęcie ustaleń uwzględniających rekomendacje i wnioski w ni</w:t>
      </w:r>
      <w:r>
        <w:rPr>
          <w:color w:val="000000"/>
          <w:szCs w:val="20"/>
          <w:u w:color="000000"/>
        </w:rPr>
        <w:t>m zawarte, wprowadzenie zasad i warunków sytuowania obiektów i urządzeń technicznych, uwzględnienie potrzeb kształtowania przestrzeni publicznych oraz ustalenie zasad ochrony dziedzictwa kulturowego i zabytków;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 wymagania ochrony środowiska, w tym gospod</w:t>
      </w:r>
      <w:r>
        <w:rPr>
          <w:color w:val="000000"/>
          <w:szCs w:val="20"/>
          <w:u w:color="000000"/>
        </w:rPr>
        <w:t>arowania wodami i zmniejszenia podatności na zmiany klimatu, poprzez wprowadzenie: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a) zakazu lokalizacji przedsięwzięć mogących zawsze znacząco oraz potencjalnie znacząco oddziaływać na środowisko z określonymi w uchwale wyjątkami,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b) nakazu stosowania </w:t>
      </w:r>
      <w:r>
        <w:rPr>
          <w:color w:val="000000"/>
          <w:szCs w:val="20"/>
          <w:u w:color="000000"/>
        </w:rPr>
        <w:t>kompleksowych rozwiązań w zakresie gospodarki wodnej i odprowadzania ścieków oraz gospodarki odpadami,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c) ustaleń w zakresie ochrony powietrza,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d) ustaleń w zakresie ochrony przed promieniowaniem elektromagnetycznym,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e) klasyfikacji terenów pod kątem ochro</w:t>
      </w:r>
      <w:r>
        <w:rPr>
          <w:color w:val="000000"/>
          <w:szCs w:val="20"/>
          <w:u w:color="000000"/>
        </w:rPr>
        <w:t>ny akustycznej w rozumieniu przepisów odrębnych dotyczących dopuszczalnych poziomów hałasu w środowisku,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f) ustaleń w zakresie odnawialnych źródeł energii,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g) minimalnego udziału powierzchni biologicznie czynnej dla wszystkich terenów z wyjątkiem terenów k</w:t>
      </w:r>
      <w:r>
        <w:rPr>
          <w:color w:val="000000"/>
          <w:szCs w:val="20"/>
          <w:u w:color="000000"/>
        </w:rPr>
        <w:t>omunikacji drogowej publicznej;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 wymagania ochrony dziedzictwa kulturowego i zabytków poprzez: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a) wprowadzenie strefy ochrony konserwatorskiej wraz z wytycznymi do ochrony jej zabytkowych elementów,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b) wskazanie zabytków wpisanych do gminnej ewidencji za</w:t>
      </w:r>
      <w:r>
        <w:rPr>
          <w:color w:val="000000"/>
          <w:szCs w:val="20"/>
          <w:u w:color="000000"/>
        </w:rPr>
        <w:t>bytków oraz ustalenie zasad ich ochrony;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6) wymagania ochrony zdrowia oraz bezpieczeństwa ludzi i mienia, a także potrzeby osób ze szczególnymi potrzebami, poprzez: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a) określenie zasad ochrony środowiska,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b) określenie minimalnej liczby miejsc parkingowych</w:t>
      </w:r>
      <w:r>
        <w:rPr>
          <w:color w:val="000000"/>
          <w:szCs w:val="20"/>
          <w:u w:color="000000"/>
        </w:rPr>
        <w:t xml:space="preserve"> dla pojazdów zaopatrzonych w kartę parkingową,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c) ustalenie wymagań wynikających z potrzeb kształtowania przestrzeni publicznych, w tym nakaz stosowania rozwiązań technicznych uwzględniających potrzeby osób ze szczególnymi potrzebami;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7) walory ekonomiczn</w:t>
      </w:r>
      <w:r>
        <w:rPr>
          <w:color w:val="000000"/>
          <w:szCs w:val="20"/>
          <w:u w:color="000000"/>
        </w:rPr>
        <w:t>e przestrzeni poprzez racjonalne wykorzystanie istniejących elementów wyposażenia technicznego i zagospodarowania terenu przy wyznaczaniu nowych terenów budowlanych;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8) prawo własności poprzez wyznaczanie terenów przeznaczonych pod zabudowę, z uwzględnieni</w:t>
      </w:r>
      <w:r>
        <w:rPr>
          <w:color w:val="000000"/>
          <w:szCs w:val="20"/>
          <w:u w:color="000000"/>
        </w:rPr>
        <w:t>em ich dotychczasowego zagospodarowania i zabudowy oraz z poszanowaniem własności prywatnej, w uporządkowanych relacjach w stosunku do terenów inwestycji celu publicznego;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9) potrzeby obronności i bezpieczeństwa państwa poprzez określenie maksymalnej wysok</w:t>
      </w:r>
      <w:r>
        <w:rPr>
          <w:color w:val="000000"/>
          <w:szCs w:val="20"/>
          <w:u w:color="000000"/>
        </w:rPr>
        <w:t>ości zabudowy oraz umożliwienie wykorzystania sieci i urządzeń infrastruktury technicznej do działań w sytuacjach szczególnych zagrożeń; ponadto, zgodnie z art. 15 ust. 5 ww. ustawy, możliwa będzie lokalizacja budowli ochronnych;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10) potrzeby interesu publ</w:t>
      </w:r>
      <w:r>
        <w:rPr>
          <w:color w:val="000000"/>
          <w:szCs w:val="20"/>
          <w:u w:color="000000"/>
        </w:rPr>
        <w:t>icznego wskazując w projekcie planu zasady ochrony dziedzictwa kulturowego i zabytków, środowiska, przyrody i krajobrazu oraz ładu przestrzennego, a także wyznaczając tereny przeznaczone pod: drogi publiczne, plac publiczny oraz zabudowę mieszkaniową służą</w:t>
      </w:r>
      <w:r>
        <w:rPr>
          <w:color w:val="000000"/>
          <w:szCs w:val="20"/>
          <w:u w:color="000000"/>
        </w:rPr>
        <w:t>cą rozwojowi społecznego budownictwa czynszowego;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11) potrzeby w zakresie rozwoju infrastruktury technicznej, w szczególności sieci szerokopasmowych, określając możliwość wyposażenie terenów w sieci i urządzenia infrastruktury technicznej oraz ustalając za</w:t>
      </w:r>
      <w:r>
        <w:rPr>
          <w:color w:val="000000"/>
          <w:szCs w:val="20"/>
          <w:u w:color="000000"/>
        </w:rPr>
        <w:t>sady ich realizacji;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12) zapewnienie udziału społeczeństwa w pracach nad sporządzeniem miejscowego planu zagospodarowania przestrzennego, w tym przy użyciu środków komunikacji elektronicznej, poprzez informację na stronie internetowej Miejskiej Pracowni Ur</w:t>
      </w:r>
      <w:r>
        <w:rPr>
          <w:color w:val="000000"/>
          <w:szCs w:val="20"/>
          <w:u w:color="000000"/>
        </w:rPr>
        <w:t>banistycznej w Łodzi, ogłoszenie w prasie i na tablicach ogłoszeń o: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a) przystąpieniu do sporządzenia projektu planu,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b) rozpoczęciu konsultacji społecznych w formie spotkania otwartego, dyżurów projektanta oraz zbierania uwag,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c) możliwości składania </w:t>
      </w:r>
      <w:r>
        <w:rPr>
          <w:color w:val="000000"/>
          <w:szCs w:val="20"/>
          <w:u w:color="000000"/>
        </w:rPr>
        <w:t>wniosków i uwag do planu na piśmie utrwalonym w postaci papierowej lub elektronicznej, w tym za pomocą środków komunikacji elektronicznej, w szczególności poczty elektronicznej, na formularzu w postaci papierowej lub w formie dokumentu elektronicznego,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d) </w:t>
      </w:r>
      <w:r>
        <w:rPr>
          <w:color w:val="000000"/>
          <w:szCs w:val="20"/>
          <w:u w:color="000000"/>
        </w:rPr>
        <w:t>możliwości zapoznania się z niezbędną dokumentacją sprawy;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13) zachowanie jawności i przejrzystości procedur planistycznych poprzez zastosowanie się do czynności formalno-prawnych określonych w art. 17 ww. ustawy, jak również na podstawie art. 21, art. 39 </w:t>
      </w:r>
      <w:r>
        <w:rPr>
          <w:color w:val="000000"/>
          <w:szCs w:val="20"/>
          <w:u w:color="000000"/>
        </w:rPr>
        <w:t>i art. 54 ustawy z dnia 3 października 2008 r. o udostępnianiu informacji o środowisku i jego ochronie, udziale społeczeństwa w ochronie środowiska oraz o ocenach oddziaływania na środowisko (Dz. U. z 2024 r. poz. 1112, 1881 i 1940 oraz z 2025 r. poz. 1535</w:t>
      </w:r>
      <w:r>
        <w:rPr>
          <w:color w:val="000000"/>
          <w:szCs w:val="20"/>
          <w:u w:color="000000"/>
        </w:rPr>
        <w:t>) przeprowadzając strategiczną ocenę oddziaływania na środowisko skutków realizacji przedmiotowego miejscowego planu zagospodarowania przestrzennego;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14) potrzebę zapewnienia odpowiedniej ilości i jakości wody do celów zaopatrzenia ludności poprzez wykorzy</w:t>
      </w:r>
      <w:r>
        <w:rPr>
          <w:color w:val="000000"/>
          <w:szCs w:val="20"/>
          <w:u w:color="000000"/>
        </w:rPr>
        <w:t>stanie istniejącej sieci wodociągowej z możliwością jej przebudowy i rozbudowy dla obsługi wyznaczonych w projekcie planu terenów budowlanych;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15) potrzeby zapobiegania poważnym awariom i ograniczania ich skutków dla zdrowia ludzkiego i środowiska poprzez </w:t>
      </w:r>
      <w:r>
        <w:rPr>
          <w:color w:val="000000"/>
          <w:szCs w:val="20"/>
          <w:u w:color="000000"/>
        </w:rPr>
        <w:t>wykluczenie terenów o funkcji produkcyjnej, a także usług uciążliwych, punktów zbierania i przetwarzania odpadów, w tym złomu oraz usług w zakresie obsługi pojazdów, mogących negatywnie wpływać na jakość życia mieszkańców.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Ze względu na brak podstaw wynika</w:t>
      </w:r>
      <w:r>
        <w:rPr>
          <w:color w:val="000000"/>
          <w:szCs w:val="20"/>
          <w:u w:color="000000"/>
        </w:rPr>
        <w:t xml:space="preserve">jących ze stanu faktycznego realizacja pozostałych wymagań, walorów i potrzeb, które uwzględnia się w planowaniu i zagospodarowaniu </w:t>
      </w:r>
      <w:r>
        <w:rPr>
          <w:color w:val="000000"/>
          <w:szCs w:val="20"/>
          <w:u w:color="000000"/>
        </w:rPr>
        <w:lastRenderedPageBreak/>
        <w:t>przestrzennym zgodnie z art. 1 ust. 2 ustawy z dnia 27 marca 2003 r. o planowaniu i zagospodarowaniu przestrzennym, nie ma z</w:t>
      </w:r>
      <w:r>
        <w:rPr>
          <w:color w:val="000000"/>
          <w:szCs w:val="20"/>
          <w:u w:color="000000"/>
        </w:rPr>
        <w:t>astosowania w niniejszym projekcie planu.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 Ustalając przeznaczenie terenu lub określając potencjalny sposób zagospodarowania i korzystania z terenu, Prezydent Miasta Łodzi zważył interes publiczny i interesy prywatne, w tym zgłaszane w postaci wniosków i</w:t>
      </w:r>
      <w:r>
        <w:rPr>
          <w:color w:val="000000"/>
          <w:szCs w:val="20"/>
          <w:u w:color="000000"/>
        </w:rPr>
        <w:t> uwag, a także analizy ekonomiczne, środowiskowe i społeczne. Przy wyborze ostatecznych rozwiązań pod uwagę brano także wnioski zgłaszane m.in. przez instytucje i organy uprawnione do uzgadniania i opiniowania projektu planu oraz zalecenia wynikające z opr</w:t>
      </w:r>
      <w:r>
        <w:rPr>
          <w:color w:val="000000"/>
          <w:szCs w:val="20"/>
          <w:u w:color="000000"/>
        </w:rPr>
        <w:t>acowania ekofizjograficznego i prognozy oddziaływania na środowisko. Podczas prac nad projektem planu miejscowego kierowano się jednocześnie potrzebą właściwego kształtowania ładu przestrzennego, koniecznością spełnienia wymogów odrębnych oraz równoważenie</w:t>
      </w:r>
      <w:r>
        <w:rPr>
          <w:color w:val="000000"/>
          <w:szCs w:val="20"/>
          <w:u w:color="000000"/>
        </w:rPr>
        <w:t>m interesów publicznych i prywatnych. Zaproponowane w projekcie planu rozwiązania przestrzenne i funkcjonalne są wynikiem analizy obecnego stanu zagospodarowania oraz potrzeb rozwojowych tej części miasta. W projekcie planu miejscowego uwzględniono zachowa</w:t>
      </w:r>
      <w:r>
        <w:rPr>
          <w:color w:val="000000"/>
          <w:szCs w:val="20"/>
          <w:u w:color="000000"/>
        </w:rPr>
        <w:t>nie istniejących terenów mieszkaniowo-usługowych oraz wyznaczono nowe wraz z towarzyszącymi im terenami przestrzeni publicznych, utrzymując ogólne dyspozycje przestrzenne ustalone w planie obowiązującym.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 terminie przewidzianym do składania wniosków do pr</w:t>
      </w:r>
      <w:r>
        <w:rPr>
          <w:color w:val="000000"/>
          <w:szCs w:val="20"/>
          <w:u w:color="000000"/>
        </w:rPr>
        <w:t>ojektu miejscowego planu, tj. od 22 października 2024 r. do 12 listopada 2024 r., zgodnie z art. 17 pkt 1 ustawy z dnia 27 marca 2003 r. o planowaniu i zagospodarowaniu przestrzennym, nie wpłynął żaden wniosek. Poza ww. terminem wpłynął jeden wniosek, któr</w:t>
      </w:r>
      <w:r>
        <w:rPr>
          <w:color w:val="000000"/>
          <w:szCs w:val="20"/>
          <w:u w:color="000000"/>
        </w:rPr>
        <w:t>y pozostawiono bez rozpatrzenia.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W odpowiedzi na zawiadomienia o podjęciu uchwały o przystąpieniu do sporządzenia planu miejscowego, w trybie art. 17 pkt 2 ww. ustawy wnioski złożyły instytucje i organy właściwe do uzgadniania i opiniowania projektu planu </w:t>
      </w:r>
      <w:r>
        <w:rPr>
          <w:color w:val="000000"/>
          <w:szCs w:val="20"/>
          <w:u w:color="000000"/>
        </w:rPr>
        <w:t>miejscowego. Wpłynęło 5 wniosków spełniających wymogi formalne, dla których propozycja rozpatrzenia została sporządzona zarządzeniem Nr 2038/2025 Prezydenta Miasta Łodzi z dnia 6 października 2025 r. Ponadto wpłynęło 7 wniosków niespełniających wymogów for</w:t>
      </w:r>
      <w:r>
        <w:rPr>
          <w:color w:val="000000"/>
          <w:szCs w:val="20"/>
          <w:u w:color="000000"/>
        </w:rPr>
        <w:t>malnych, które pozostawiono bez propozycji rozpatrzenia.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Projekt miejscowego planu zagospodarowania przestrzennego został poddany konsultacjom społecznym w okresie od 4 listopada 2025 r. do 2 grudnia 2025 r. Jedną z form konsultacji społecznych było zbiera</w:t>
      </w:r>
      <w:r>
        <w:rPr>
          <w:color w:val="000000"/>
          <w:szCs w:val="20"/>
          <w:u w:color="000000"/>
        </w:rPr>
        <w:t>nie uwag w ww. terminie. W wyznaczonym terminie nie wpłynęły uwagi, w związku z czym nie został sporządzony wykaz uwag oraz propozycja ich rozpatrzenia i uzasadnienie.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Dla potrzeb projektu planu miejscowego sporządzono prognozę oddziaływania na środowisko </w:t>
      </w:r>
      <w:r>
        <w:rPr>
          <w:color w:val="000000"/>
          <w:szCs w:val="20"/>
          <w:u w:color="000000"/>
        </w:rPr>
        <w:t>(zgodnie z art. 17 pkt 4 ww. ustawy) oraz analizę wpływu ustaleń projektu miejscowego planu zagospodarowania przestrzennego na finanse publiczne.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 Umożliwiając sytuowanie nowej zabudowy uwzględniono wymagania ładu przestrzennego, walory przyrodnicze prze</w:t>
      </w:r>
      <w:r>
        <w:rPr>
          <w:color w:val="000000"/>
          <w:szCs w:val="20"/>
          <w:u w:color="000000"/>
        </w:rPr>
        <w:t>strzeni, efektywne gospodarowanie przestrzenią oraz walory ekonomiczne przestrzeni, w szczególności: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 projektowane struktury przestrzenne oparto o istniejący system komunikacyjny dróg publicznych oraz jego rozbudowę;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 obszar, dla którego został sporząd</w:t>
      </w:r>
      <w:r>
        <w:rPr>
          <w:color w:val="000000"/>
          <w:szCs w:val="20"/>
          <w:u w:color="000000"/>
        </w:rPr>
        <w:t>zony projekt planu położony jest w sąsiedztwie węzła multimodalnego Łódź-Fabryczna, zatem potrzeby mieszkańców w zakresie komunikacji są zaspokojone przy maksymalnym wykorzystaniu publicznego transportu zbiorowego;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 zapewniono rozwiązania przestrzenne uł</w:t>
      </w:r>
      <w:r>
        <w:rPr>
          <w:color w:val="000000"/>
          <w:szCs w:val="20"/>
          <w:u w:color="000000"/>
        </w:rPr>
        <w:t xml:space="preserve">atwiające przemieszczanie się pieszych i rowerzystów poprzez wyznaczenie terenów dróg publicznych oraz terenu placu lub rynku, należących do przestrzeni publicznych i umożliwiających realizację dróg rowerowych </w:t>
      </w:r>
      <w:r>
        <w:rPr>
          <w:color w:val="000000"/>
          <w:szCs w:val="20"/>
          <w:u w:color="000000"/>
        </w:rPr>
        <w:lastRenderedPageBreak/>
        <w:t>i pieszych, a także poprzez wyznaczenie strefy</w:t>
      </w:r>
      <w:r>
        <w:rPr>
          <w:color w:val="000000"/>
          <w:szCs w:val="20"/>
          <w:u w:color="000000"/>
        </w:rPr>
        <w:t xml:space="preserve"> przejścia i przejazdu w terenie przeznaczonym pod zabudowę;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 obszar, dla którego został sporządzony projekt planu, stanowi część struktury funkcjonalno-przestrzennej śródmieścia Łodzi, w szczególności objętą Programem Nowego Centrum Łodzi, dlatego proje</w:t>
      </w:r>
      <w:r>
        <w:rPr>
          <w:color w:val="000000"/>
          <w:szCs w:val="20"/>
          <w:u w:color="000000"/>
        </w:rPr>
        <w:t>kt planu przewiduje jedynie jej uporządkowanie oraz uzupełnienie.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II. Zgodność z wynikami analizy dotyczącej oceny aktualności studium uwarunkowań i kierunków zagospodarowania przestrzennego oraz miejscowych planów zagospodarowania przestrzennego oraz spos</w:t>
      </w:r>
      <w:r>
        <w:rPr>
          <w:b/>
          <w:color w:val="000000"/>
          <w:szCs w:val="20"/>
          <w:u w:color="000000"/>
        </w:rPr>
        <w:t>ób uwzględnienia uniwersalnego projektowania.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Zgodnie z wymogiem art. 32 ust. 1 ustawy z dnia 27 marca 2003 r. o planowaniu i zagospodarowaniu przestrzennym w celu oceny aktualności studium i planów miejscowych Prezydent Miasta Łodzi dokonał analiz zmian w</w:t>
      </w:r>
      <w:r>
        <w:rPr>
          <w:color w:val="000000"/>
          <w:szCs w:val="20"/>
          <w:u w:color="000000"/>
        </w:rPr>
        <w:t> zagospodarowaniu przestrzennym. Ocena aktualności Studium uwarunkowań i kierunków zagospodarowania przestrzennego oraz miejscowych planów zagospodarowania przestrzennego miasta Łodzi przyjęta uchwałą Nr LXXXVIII/2684/24 Rady Miejskiej w Łodzi z dnia 13 ma</w:t>
      </w:r>
      <w:r>
        <w:rPr>
          <w:color w:val="000000"/>
          <w:szCs w:val="20"/>
          <w:u w:color="000000"/>
        </w:rPr>
        <w:t>rca 2024 r. nie wskazuje na nieaktualność studium na obszarze objętym projektem planu. W momencie dokonywania oceny obszar projektu planu był objęty obowiązującym miejscowym planem zagospodarowania przestrzennego dla części obszaru miasta Łodzi położonej w</w:t>
      </w:r>
      <w:r>
        <w:rPr>
          <w:color w:val="000000"/>
          <w:szCs w:val="20"/>
          <w:u w:color="000000"/>
        </w:rPr>
        <w:t> rejonie ulic: Prezydenta Gabriela Narutowicza, dr. Stefana Kopcińskiego i Juliana Tuwima na wschód od planowanego przedłużenia ulicy Uniwersyteckiej, zatwierdzonym uchwałą Nr III/40/14 Rady Miejskiej w Łodzi z dnia 29 grudnia 2014 r. Ocena aktualności, o </w:t>
      </w:r>
      <w:r>
        <w:rPr>
          <w:color w:val="000000"/>
          <w:szCs w:val="20"/>
          <w:u w:color="000000"/>
        </w:rPr>
        <w:t>której mowa powyżej, nie wykazała niezgodności obowiązującego planu miejscowego z obowiązującym Studium uwarunkowań i kierunków zagospodarowania przestrzennego lub braku aktualności planu. Projekt uchwały jest zgodny z wynikami analizy dotyczącej ww. oceny</w:t>
      </w:r>
      <w:r>
        <w:rPr>
          <w:color w:val="000000"/>
          <w:szCs w:val="20"/>
          <w:u w:color="000000"/>
        </w:rPr>
        <w:t>.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Projekt planu miejscowego uwzględnia uniwersalne projektowanie nakazując stosowanie rozwiązań uwzględniających potrzeby osób ze szczególnymi potrzebami w terenach należących do przestrzeni publicznych oraz ustalając minimalną liczbę miejsc parkingowych p</w:t>
      </w:r>
      <w:r>
        <w:rPr>
          <w:color w:val="000000"/>
          <w:szCs w:val="20"/>
          <w:u w:color="000000"/>
        </w:rPr>
        <w:t>rzeznaczonych do parkowania pojazdów zaopatrzonych w kartę parkingową, o której mowa w przepisach o ruchu drogowym.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III. Wpływ na finanse publiczne, w tym budżet gminy.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Analiza wpływu ustaleń projektu miejscowego planu zagospodarowania przestrzennego na fi</w:t>
      </w:r>
      <w:r>
        <w:rPr>
          <w:color w:val="000000"/>
          <w:szCs w:val="20"/>
          <w:u w:color="000000"/>
        </w:rPr>
        <w:t>nanse publiczne, w tym na budżet gminy, określa potencjalne dochody i wydatki z tytułu uchwalenia planu miejscowego.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Wykonane obliczenia wykazały dodatni wynik finansowy, który nie odzwierciedla nadwyżki dochodów nad wydatkami, a wskazuje głównie na potenc</w:t>
      </w:r>
      <w:r>
        <w:rPr>
          <w:color w:val="000000"/>
          <w:szCs w:val="20"/>
          <w:u w:color="000000"/>
        </w:rPr>
        <w:t>jalne oszczędności dla Gminy. Uchwalenie planu miejscowego, który w części uchyla obowiązujący mpzp, skutkuje bowiem spadkiem całkowitych kosztów związanych przede wszystkim z nabyciem nieruchomości oraz realizacją układu komunikacyjnego i pozostałych inwe</w:t>
      </w:r>
      <w:r>
        <w:rPr>
          <w:color w:val="000000"/>
          <w:szCs w:val="20"/>
          <w:u w:color="000000"/>
        </w:rPr>
        <w:t>stycji celu publicznego względem planu obowiązującego dla przedmiotowego obszaru.</w:t>
      </w:r>
    </w:p>
    <w:p w:rsidR="00444329" w:rsidRDefault="00141EAF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Należy pamiętać, że oszacowany poziom wyniku finansowego może odbiegać od rzeczywistych przyszłych rezultatów z uwagi na nieprzewidywalność zachowań inwestorów, poziom cen </w:t>
      </w:r>
      <w:r>
        <w:rPr>
          <w:color w:val="000000"/>
          <w:szCs w:val="20"/>
          <w:u w:color="000000"/>
        </w:rPr>
        <w:t>rynkowych oraz zmienność uwarunkowań w czasie. Opracowana analiza pokazuje jedynie skalę pewnych zjawisk, które mogą wystąpić w konsekwencji uchwalenia planu.</w:t>
      </w:r>
    </w:p>
    <w:sectPr w:rsidR="00444329">
      <w:footerReference w:type="default" r:id="rId28"/>
      <w:endnotePr>
        <w:numFmt w:val="decimal"/>
      </w:endnotePr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1EAF" w:rsidRDefault="00141EAF">
      <w:r>
        <w:separator/>
      </w:r>
    </w:p>
  </w:endnote>
  <w:endnote w:type="continuationSeparator" w:id="0">
    <w:p w:rsidR="00141EAF" w:rsidRDefault="00141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444329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444329" w:rsidRDefault="00141EAF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444329" w:rsidRDefault="00141EA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922F44">
            <w:rPr>
              <w:sz w:val="18"/>
            </w:rPr>
            <w:fldChar w:fldCharType="separate"/>
          </w:r>
          <w:r w:rsidR="00922F44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444329" w:rsidRDefault="00444329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444329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444329" w:rsidRDefault="00141EAF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444329" w:rsidRDefault="00141EA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922F44">
            <w:rPr>
              <w:sz w:val="18"/>
            </w:rPr>
            <w:fldChar w:fldCharType="separate"/>
          </w:r>
          <w:r w:rsidR="00922F44">
            <w:rPr>
              <w:noProof/>
              <w:sz w:val="18"/>
            </w:rPr>
            <w:t>7</w:t>
          </w:r>
          <w:r>
            <w:rPr>
              <w:sz w:val="18"/>
            </w:rPr>
            <w:fldChar w:fldCharType="end"/>
          </w:r>
        </w:p>
      </w:tc>
    </w:tr>
  </w:tbl>
  <w:p w:rsidR="00444329" w:rsidRDefault="00444329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444329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444329" w:rsidRDefault="00141EAF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444329" w:rsidRDefault="00141EA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922F44">
            <w:rPr>
              <w:sz w:val="18"/>
            </w:rPr>
            <w:fldChar w:fldCharType="separate"/>
          </w:r>
          <w:r w:rsidR="00922F44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444329" w:rsidRDefault="00444329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444329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444329" w:rsidRDefault="00141EAF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444329" w:rsidRDefault="00141EA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922F44">
            <w:rPr>
              <w:sz w:val="18"/>
            </w:rPr>
            <w:fldChar w:fldCharType="separate"/>
          </w:r>
          <w:r w:rsidR="00922F44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444329" w:rsidRDefault="00444329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444329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444329" w:rsidRDefault="00141EAF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444329" w:rsidRDefault="00141EA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922F44">
            <w:rPr>
              <w:sz w:val="18"/>
            </w:rPr>
            <w:fldChar w:fldCharType="separate"/>
          </w:r>
          <w:r w:rsidR="00922F44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444329" w:rsidRDefault="00444329">
    <w:pPr>
      <w:rPr>
        <w:sz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444329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444329" w:rsidRDefault="00141EAF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444329" w:rsidRDefault="00141EA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922F44">
            <w:rPr>
              <w:sz w:val="18"/>
            </w:rPr>
            <w:fldChar w:fldCharType="separate"/>
          </w:r>
          <w:r w:rsidR="00922F44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:rsidR="00444329" w:rsidRDefault="00444329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1EAF" w:rsidRDefault="00141EAF">
      <w:r>
        <w:separator/>
      </w:r>
    </w:p>
  </w:footnote>
  <w:footnote w:type="continuationSeparator" w:id="0">
    <w:p w:rsidR="00141EAF" w:rsidRDefault="00141E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141EAF"/>
    <w:rsid w:val="00444329"/>
    <w:rsid w:val="00922F44"/>
    <w:rsid w:val="00A77B3E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CAE73E"/>
  <w15:docId w15:val="{502AB6DA-87B6-484D-B5F2-CA142FC0A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D4A8F62F-9EFD-45E7-8311-A2520D6D4798.png" TargetMode="External"/><Relationship Id="rId13" Type="http://schemas.openxmlformats.org/officeDocument/2006/relationships/image" Target="media/image4.png"/><Relationship Id="rId18" Type="http://schemas.openxmlformats.org/officeDocument/2006/relationships/image" Target="Zalacznik4E431850-FB68-48E2-94D3-21E7ECDAAFAD.png" TargetMode="External"/><Relationship Id="rId26" Type="http://schemas.openxmlformats.org/officeDocument/2006/relationships/hyperlink" Target="file:///C:\Users\mawojcik\AppData\Local\Temp\ezdpuw\20260206104138815\Zalacznik4.gm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Zalacznik66E4C08E-D622-4A12-A50C-8B4BBBF4A0B2.png" TargetMode="External"/><Relationship Id="rId17" Type="http://schemas.openxmlformats.org/officeDocument/2006/relationships/image" Target="media/image6.png"/><Relationship Id="rId25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image" Target="ZalacznikC331E78F-A0D0-4B21-B83B-DB0B16791BF7.png" TargetMode="External"/><Relationship Id="rId20" Type="http://schemas.openxmlformats.org/officeDocument/2006/relationships/image" Target="Zalacznik2125DB77-0FA7-4065-9C83-1CFC0795DD3D.png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28" Type="http://schemas.openxmlformats.org/officeDocument/2006/relationships/footer" Target="footer6.xml"/><Relationship Id="rId10" Type="http://schemas.openxmlformats.org/officeDocument/2006/relationships/image" Target="ZalacznikF0637155-D93A-45F5-A167-67F888102460.png" TargetMode="Externa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Zalacznik48802266-C8A1-44C1-A0F6-7BC0DD657B35.png" TargetMode="External"/><Relationship Id="rId22" Type="http://schemas.openxmlformats.org/officeDocument/2006/relationships/image" Target="Zalacznik54F5EDC9-238B-49C0-8735-D88707693E56.png" TargetMode="External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8715</Words>
  <Characters>52293</Characters>
  <Application>Microsoft Office Word</Application>
  <DocSecurity>0</DocSecurity>
  <Lines>435</Lines>
  <Paragraphs>121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 ^^^^^^^^^^^^^^^^^^^^</vt:lpstr>
      <vt:lpstr/>
    </vt:vector>
  </TitlesOfParts>
  <Company>Rada Miejska w Łodzi</Company>
  <LinksUpToDate>false</LinksUpToDate>
  <CharactersWithSpaces>60887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 ^^^^^^^^^^^^^^^^^^^^</dc:title>
  <dc:subject>w sprawie uchwalenia miejscowego planu zagospodarowania przestrzennego dla części obszaru miasta Łodzi położonej w^rejonie alei Rodziny Grohmanów oraz ulic: Wysokiej, Juliana Tuwima i^Wodnej.</dc:subject>
  <dc:creator>akuligowska</dc:creator>
  <cp:lastModifiedBy>Małgorzata Wójcik</cp:lastModifiedBy>
  <cp:revision>2</cp:revision>
  <dcterms:created xsi:type="dcterms:W3CDTF">2026-02-06T09:51:00Z</dcterms:created>
  <dcterms:modified xsi:type="dcterms:W3CDTF">2026-02-06T09:51:00Z</dcterms:modified>
  <cp:category>Akt prawny</cp:category>
</cp:coreProperties>
</file>