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F9C" w:rsidRDefault="009E6F9C" w:rsidP="009E6F9C">
      <w:pPr>
        <w:tabs>
          <w:tab w:val="left" w:pos="5103"/>
        </w:tabs>
        <w:spacing w:after="0" w:line="254" w:lineRule="auto"/>
        <w:jc w:val="right"/>
        <w:rPr>
          <w:rFonts w:ascii="Times New Roman" w:hAnsi="Times New Roman"/>
          <w:bCs/>
          <w:sz w:val="24"/>
          <w:szCs w:val="24"/>
        </w:rPr>
      </w:pPr>
      <w:bookmarkStart w:id="0" w:name="_Hlk143843976"/>
      <w:bookmarkStart w:id="1" w:name="_GoBack"/>
      <w:bookmarkEnd w:id="1"/>
      <w:r>
        <w:rPr>
          <w:rFonts w:ascii="Times New Roman" w:hAnsi="Times New Roman"/>
          <w:bCs/>
          <w:sz w:val="24"/>
          <w:szCs w:val="24"/>
        </w:rPr>
        <w:t xml:space="preserve">Druk BRM nr </w:t>
      </w:r>
      <w:r>
        <w:rPr>
          <w:rFonts w:ascii="Times New Roman" w:hAnsi="Times New Roman"/>
          <w:b/>
          <w:bCs/>
          <w:sz w:val="24"/>
          <w:szCs w:val="24"/>
        </w:rPr>
        <w:t>20</w:t>
      </w:r>
      <w:r>
        <w:rPr>
          <w:rFonts w:ascii="Times New Roman" w:hAnsi="Times New Roman"/>
          <w:b/>
          <w:sz w:val="24"/>
          <w:szCs w:val="24"/>
        </w:rPr>
        <w:t>/2026</w:t>
      </w:r>
    </w:p>
    <w:p w:rsidR="009E6F9C" w:rsidRDefault="009E6F9C" w:rsidP="009E6F9C">
      <w:pPr>
        <w:tabs>
          <w:tab w:val="left" w:pos="5103"/>
        </w:tabs>
        <w:spacing w:after="0" w:line="254" w:lineRule="auto"/>
        <w:jc w:val="right"/>
        <w:rPr>
          <w:rFonts w:ascii="Times New Roman" w:hAnsi="Times New Roman"/>
          <w:bCs/>
          <w:sz w:val="24"/>
          <w:szCs w:val="24"/>
        </w:rPr>
      </w:pPr>
      <w:r>
        <w:rPr>
          <w:rFonts w:ascii="Times New Roman" w:hAnsi="Times New Roman"/>
          <w:bCs/>
          <w:sz w:val="24"/>
          <w:szCs w:val="24"/>
        </w:rPr>
        <w:t>Projekt z dnia 17 lutego 2026 r.</w:t>
      </w:r>
    </w:p>
    <w:p w:rsidR="009E6F9C" w:rsidRDefault="009E6F9C" w:rsidP="009E6F9C">
      <w:pPr>
        <w:tabs>
          <w:tab w:val="left" w:pos="5103"/>
        </w:tabs>
        <w:spacing w:after="0" w:line="254" w:lineRule="auto"/>
        <w:rPr>
          <w:rFonts w:ascii="Times New Roman" w:hAnsi="Times New Roman"/>
          <w:bCs/>
          <w:sz w:val="24"/>
          <w:szCs w:val="24"/>
        </w:rPr>
      </w:pPr>
    </w:p>
    <w:p w:rsidR="009E6F9C" w:rsidRDefault="009E6F9C" w:rsidP="009E6F9C">
      <w:pPr>
        <w:tabs>
          <w:tab w:val="left" w:pos="5103"/>
        </w:tabs>
        <w:spacing w:after="0" w:line="254" w:lineRule="auto"/>
        <w:jc w:val="right"/>
        <w:rPr>
          <w:rFonts w:ascii="Times New Roman" w:hAnsi="Times New Roman"/>
          <w:bCs/>
          <w:sz w:val="24"/>
          <w:szCs w:val="24"/>
        </w:rPr>
      </w:pPr>
    </w:p>
    <w:p w:rsidR="009E6F9C" w:rsidRDefault="009E6F9C" w:rsidP="009E6F9C">
      <w:pPr>
        <w:tabs>
          <w:tab w:val="left" w:pos="5103"/>
        </w:tabs>
        <w:spacing w:after="0" w:line="254" w:lineRule="auto"/>
        <w:rPr>
          <w:rFonts w:ascii="Times New Roman" w:hAnsi="Times New Roman"/>
          <w:bCs/>
          <w:sz w:val="24"/>
          <w:szCs w:val="24"/>
        </w:rPr>
      </w:pPr>
    </w:p>
    <w:p w:rsidR="009E6F9C" w:rsidRDefault="009E6F9C" w:rsidP="009E6F9C">
      <w:pPr>
        <w:tabs>
          <w:tab w:val="left" w:pos="5103"/>
        </w:tabs>
        <w:spacing w:after="0" w:line="254" w:lineRule="auto"/>
        <w:jc w:val="center"/>
        <w:rPr>
          <w:rFonts w:ascii="Times New Roman" w:hAnsi="Times New Roman"/>
          <w:b/>
          <w:bCs/>
          <w:sz w:val="24"/>
          <w:szCs w:val="24"/>
        </w:rPr>
      </w:pPr>
      <w:r>
        <w:rPr>
          <w:rFonts w:ascii="Times New Roman" w:hAnsi="Times New Roman"/>
          <w:b/>
          <w:bCs/>
          <w:sz w:val="24"/>
          <w:szCs w:val="24"/>
        </w:rPr>
        <w:t>UCHWAŁA Nr ………</w:t>
      </w:r>
    </w:p>
    <w:p w:rsidR="009E6F9C" w:rsidRDefault="009E6F9C" w:rsidP="009E6F9C">
      <w:pPr>
        <w:tabs>
          <w:tab w:val="left" w:pos="5103"/>
        </w:tabs>
        <w:spacing w:after="0" w:line="254" w:lineRule="auto"/>
        <w:jc w:val="center"/>
        <w:rPr>
          <w:rFonts w:ascii="Times New Roman" w:hAnsi="Times New Roman"/>
          <w:b/>
          <w:bCs/>
          <w:sz w:val="24"/>
          <w:szCs w:val="24"/>
        </w:rPr>
      </w:pPr>
      <w:r>
        <w:rPr>
          <w:rFonts w:ascii="Times New Roman" w:hAnsi="Times New Roman"/>
          <w:b/>
          <w:bCs/>
          <w:sz w:val="24"/>
          <w:szCs w:val="24"/>
        </w:rPr>
        <w:t>RADY MIEJSKIEJ w ŁODZI</w:t>
      </w:r>
    </w:p>
    <w:p w:rsidR="009E6F9C" w:rsidRDefault="009E6F9C" w:rsidP="009E6F9C">
      <w:pPr>
        <w:tabs>
          <w:tab w:val="left" w:pos="5103"/>
        </w:tabs>
        <w:spacing w:after="0" w:line="254" w:lineRule="auto"/>
        <w:jc w:val="center"/>
        <w:rPr>
          <w:rFonts w:ascii="Times New Roman" w:hAnsi="Times New Roman"/>
          <w:b/>
          <w:bCs/>
          <w:sz w:val="24"/>
          <w:szCs w:val="24"/>
        </w:rPr>
      </w:pPr>
      <w:r>
        <w:rPr>
          <w:rFonts w:ascii="Times New Roman" w:hAnsi="Times New Roman"/>
          <w:b/>
          <w:bCs/>
          <w:sz w:val="24"/>
          <w:szCs w:val="24"/>
        </w:rPr>
        <w:t>z dnia …….</w:t>
      </w:r>
    </w:p>
    <w:p w:rsidR="009E6F9C" w:rsidRDefault="009E6F9C" w:rsidP="009E6F9C">
      <w:pPr>
        <w:tabs>
          <w:tab w:val="left" w:pos="5103"/>
        </w:tabs>
        <w:spacing w:after="0" w:line="254" w:lineRule="auto"/>
        <w:jc w:val="right"/>
        <w:rPr>
          <w:rFonts w:ascii="Times New Roman" w:hAnsi="Times New Roman"/>
          <w:b/>
          <w:bCs/>
          <w:sz w:val="24"/>
          <w:szCs w:val="24"/>
        </w:rPr>
      </w:pPr>
    </w:p>
    <w:p w:rsidR="009E6F9C" w:rsidRDefault="009E6F9C" w:rsidP="009E6F9C">
      <w:pPr>
        <w:spacing w:after="0" w:line="254" w:lineRule="auto"/>
        <w:jc w:val="center"/>
        <w:rPr>
          <w:rFonts w:ascii="Times New Roman" w:hAnsi="Times New Roman"/>
          <w:b/>
          <w:bCs/>
          <w:sz w:val="24"/>
          <w:szCs w:val="24"/>
          <w:lang w:eastAsia="ar-SA"/>
        </w:rPr>
      </w:pPr>
      <w:r>
        <w:rPr>
          <w:rFonts w:ascii="Times New Roman" w:hAnsi="Times New Roman"/>
          <w:b/>
          <w:bCs/>
          <w:sz w:val="24"/>
          <w:szCs w:val="24"/>
        </w:rPr>
        <w:t xml:space="preserve">w sprawie </w:t>
      </w:r>
      <w:r>
        <w:rPr>
          <w:rFonts w:ascii="Times New Roman" w:hAnsi="Times New Roman"/>
          <w:b/>
          <w:sz w:val="24"/>
          <w:szCs w:val="24"/>
        </w:rPr>
        <w:t>wniosku Łódzkiego Stowarzyszenia Lokatorów.</w:t>
      </w:r>
    </w:p>
    <w:p w:rsidR="009E6F9C" w:rsidRDefault="009E6F9C" w:rsidP="009E6F9C">
      <w:pPr>
        <w:spacing w:after="0" w:line="254" w:lineRule="auto"/>
        <w:jc w:val="both"/>
        <w:rPr>
          <w:rFonts w:ascii="Times New Roman" w:hAnsi="Times New Roman"/>
          <w:sz w:val="24"/>
          <w:szCs w:val="24"/>
          <w:lang w:eastAsia="ar-SA"/>
        </w:rPr>
      </w:pPr>
    </w:p>
    <w:p w:rsidR="009E6F9C" w:rsidRDefault="009E6F9C" w:rsidP="009E6F9C">
      <w:pPr>
        <w:pStyle w:val="Default"/>
        <w:spacing w:line="254" w:lineRule="auto"/>
        <w:ind w:firstLine="708"/>
        <w:jc w:val="both"/>
      </w:pPr>
      <w:r>
        <w:t xml:space="preserve">Na podstawie art. 18 ust. 2 pkt 15 ustawy z dnia 8 marca 1990 r. o samorządzie gminnym (Dz. U. </w:t>
      </w:r>
      <w:bookmarkStart w:id="2" w:name="_Hlk183584191"/>
      <w:r w:rsidRPr="00851AC1">
        <w:t>z </w:t>
      </w:r>
      <w:r w:rsidRPr="00851AC1">
        <w:rPr>
          <w:bCs/>
        </w:rPr>
        <w:t>2025 r. poz. 1153, 1436</w:t>
      </w:r>
      <w:r w:rsidRPr="00851AC1">
        <w:t>)</w:t>
      </w:r>
      <w:r>
        <w:t xml:space="preserve"> </w:t>
      </w:r>
      <w:bookmarkEnd w:id="2"/>
      <w:r>
        <w:t>oraz art. 241 i art. 244 § 2 ustawy z dnia 14 czerwca 1960 r. Kodeks postępowania administracyjnego (Dz. U. z 2025 r. poz. 1691),  Rada Miejska w Łodzi</w:t>
      </w:r>
    </w:p>
    <w:p w:rsidR="009E6F9C" w:rsidRDefault="009E6F9C" w:rsidP="009E6F9C">
      <w:pPr>
        <w:spacing w:after="0" w:line="254" w:lineRule="auto"/>
        <w:jc w:val="center"/>
        <w:rPr>
          <w:rFonts w:ascii="Times New Roman" w:hAnsi="Times New Roman"/>
          <w:b/>
          <w:bCs/>
          <w:sz w:val="24"/>
          <w:szCs w:val="24"/>
        </w:rPr>
      </w:pPr>
      <w:r>
        <w:rPr>
          <w:rFonts w:ascii="Times New Roman" w:hAnsi="Times New Roman"/>
          <w:b/>
          <w:bCs/>
          <w:sz w:val="24"/>
          <w:szCs w:val="24"/>
        </w:rPr>
        <w:t>uchwala, co następuje:</w:t>
      </w:r>
    </w:p>
    <w:p w:rsidR="009E6F9C" w:rsidRDefault="009E6F9C" w:rsidP="009E6F9C">
      <w:pPr>
        <w:spacing w:after="0" w:line="254" w:lineRule="auto"/>
        <w:jc w:val="center"/>
        <w:rPr>
          <w:rFonts w:ascii="Times New Roman" w:hAnsi="Times New Roman"/>
          <w:b/>
          <w:bCs/>
          <w:sz w:val="24"/>
          <w:szCs w:val="24"/>
        </w:rPr>
      </w:pPr>
    </w:p>
    <w:p w:rsidR="009E6F9C" w:rsidRDefault="009E6F9C" w:rsidP="009E6F9C">
      <w:pPr>
        <w:spacing w:after="0" w:line="254" w:lineRule="auto"/>
        <w:ind w:firstLine="539"/>
        <w:jc w:val="both"/>
        <w:rPr>
          <w:rFonts w:ascii="Times New Roman" w:hAnsi="Times New Roman"/>
          <w:sz w:val="24"/>
          <w:szCs w:val="24"/>
        </w:rPr>
      </w:pPr>
      <w:r>
        <w:rPr>
          <w:rFonts w:ascii="Times New Roman" w:hAnsi="Times New Roman"/>
          <w:sz w:val="24"/>
          <w:szCs w:val="24"/>
        </w:rPr>
        <w:t>§ 1.1.</w:t>
      </w:r>
      <w:r>
        <w:rPr>
          <w:rFonts w:ascii="Times New Roman" w:hAnsi="Times New Roman"/>
          <w:b/>
          <w:sz w:val="24"/>
          <w:szCs w:val="24"/>
        </w:rPr>
        <w:t xml:space="preserve"> </w:t>
      </w:r>
      <w:r>
        <w:rPr>
          <w:rFonts w:ascii="Times New Roman" w:hAnsi="Times New Roman"/>
          <w:sz w:val="24"/>
          <w:szCs w:val="24"/>
        </w:rPr>
        <w:t>Wniosek</w:t>
      </w:r>
      <w:r>
        <w:rPr>
          <w:rFonts w:ascii="Times New Roman" w:hAnsi="Times New Roman"/>
          <w:bCs/>
          <w:sz w:val="24"/>
          <w:szCs w:val="24"/>
          <w:lang w:eastAsia="ar-SA"/>
        </w:rPr>
        <w:t xml:space="preserve"> </w:t>
      </w:r>
      <w:r>
        <w:rPr>
          <w:rFonts w:ascii="Times New Roman" w:hAnsi="Times New Roman"/>
          <w:sz w:val="24"/>
          <w:szCs w:val="24"/>
        </w:rPr>
        <w:t>Łódzkiego Stowarzyszenia Lokatorów</w:t>
      </w:r>
      <w:r>
        <w:rPr>
          <w:rFonts w:ascii="Times New Roman" w:hAnsi="Times New Roman"/>
          <w:b/>
          <w:sz w:val="24"/>
          <w:szCs w:val="24"/>
        </w:rPr>
        <w:t xml:space="preserve"> </w:t>
      </w:r>
      <w:r>
        <w:rPr>
          <w:rFonts w:ascii="Times New Roman" w:hAnsi="Times New Roman"/>
          <w:bCs/>
          <w:sz w:val="24"/>
          <w:szCs w:val="24"/>
          <w:lang w:eastAsia="ar-SA"/>
        </w:rPr>
        <w:t>uznaje się za bezzasadny</w:t>
      </w:r>
    </w:p>
    <w:p w:rsidR="009E6F9C" w:rsidRDefault="009E6F9C" w:rsidP="009E6F9C">
      <w:pPr>
        <w:spacing w:after="0" w:line="254" w:lineRule="auto"/>
        <w:ind w:firstLine="539"/>
        <w:jc w:val="both"/>
        <w:rPr>
          <w:rFonts w:ascii="Times New Roman" w:hAnsi="Times New Roman"/>
          <w:sz w:val="24"/>
          <w:szCs w:val="24"/>
        </w:rPr>
      </w:pPr>
      <w:r>
        <w:rPr>
          <w:rFonts w:ascii="Times New Roman" w:hAnsi="Times New Roman"/>
          <w:sz w:val="24"/>
          <w:szCs w:val="24"/>
        </w:rPr>
        <w:tab/>
        <w:t xml:space="preserve">2. Wniosek uznaje się za </w:t>
      </w:r>
      <w:r w:rsidR="004F1C40">
        <w:rPr>
          <w:rFonts w:ascii="Times New Roman" w:hAnsi="Times New Roman"/>
          <w:sz w:val="24"/>
          <w:szCs w:val="24"/>
        </w:rPr>
        <w:t>bez</w:t>
      </w:r>
      <w:r>
        <w:rPr>
          <w:rFonts w:ascii="Times New Roman" w:hAnsi="Times New Roman"/>
          <w:sz w:val="24"/>
          <w:szCs w:val="24"/>
        </w:rPr>
        <w:t>zasadny z przyczyn wskazanych w uzasadnieniu do przedmiotowej uchwały, które stanowi jej integralną część.</w:t>
      </w:r>
    </w:p>
    <w:p w:rsidR="009E6F9C" w:rsidRDefault="009E6F9C" w:rsidP="009E6F9C">
      <w:pPr>
        <w:tabs>
          <w:tab w:val="left" w:pos="720"/>
          <w:tab w:val="left" w:pos="1080"/>
        </w:tabs>
        <w:spacing w:after="0" w:line="254" w:lineRule="auto"/>
        <w:ind w:firstLine="539"/>
        <w:jc w:val="both"/>
        <w:rPr>
          <w:rFonts w:ascii="Times New Roman" w:hAnsi="Times New Roman"/>
          <w:sz w:val="24"/>
          <w:szCs w:val="24"/>
        </w:rPr>
      </w:pPr>
      <w:r>
        <w:rPr>
          <w:rFonts w:ascii="Times New Roman" w:hAnsi="Times New Roman"/>
          <w:sz w:val="24"/>
          <w:szCs w:val="24"/>
        </w:rPr>
        <w:t>§ 2. Zobowiązuje się Przewodniczącego Rady Miejskiej w Łodzi do przekazania Wnioskodawcy niniejszej uchwały wraz z uzasadnieniem.</w:t>
      </w:r>
    </w:p>
    <w:p w:rsidR="009E6F9C" w:rsidRDefault="009E6F9C" w:rsidP="009E6F9C">
      <w:pPr>
        <w:spacing w:after="0" w:line="254" w:lineRule="auto"/>
        <w:ind w:firstLine="539"/>
        <w:jc w:val="both"/>
        <w:rPr>
          <w:rFonts w:ascii="Times New Roman" w:hAnsi="Times New Roman"/>
          <w:sz w:val="24"/>
          <w:szCs w:val="24"/>
        </w:rPr>
      </w:pPr>
      <w:r>
        <w:rPr>
          <w:rFonts w:ascii="Times New Roman" w:hAnsi="Times New Roman"/>
          <w:sz w:val="24"/>
          <w:szCs w:val="24"/>
        </w:rPr>
        <w:t>§ 3. Uchwała wchodzi w życie z dniem podjęcia.</w:t>
      </w:r>
    </w:p>
    <w:p w:rsidR="009E6F9C" w:rsidRDefault="009E6F9C" w:rsidP="009E6F9C">
      <w:pPr>
        <w:spacing w:after="0" w:line="254" w:lineRule="auto"/>
        <w:rPr>
          <w:rFonts w:ascii="Times New Roman" w:hAnsi="Times New Roman"/>
          <w:b/>
          <w:sz w:val="24"/>
          <w:szCs w:val="24"/>
        </w:rPr>
      </w:pPr>
    </w:p>
    <w:p w:rsidR="009E6F9C" w:rsidRDefault="009E6F9C" w:rsidP="009E6F9C">
      <w:pPr>
        <w:spacing w:after="0" w:line="254" w:lineRule="auto"/>
        <w:rPr>
          <w:rFonts w:ascii="Times New Roman" w:hAnsi="Times New Roman"/>
          <w:b/>
          <w:sz w:val="24"/>
          <w:szCs w:val="24"/>
        </w:rPr>
      </w:pPr>
    </w:p>
    <w:p w:rsidR="009E6F9C" w:rsidRDefault="009E6F9C" w:rsidP="009E6F9C">
      <w:pPr>
        <w:spacing w:after="0" w:line="254" w:lineRule="auto"/>
        <w:rPr>
          <w:rFonts w:ascii="Times New Roman" w:hAnsi="Times New Roman"/>
          <w:b/>
          <w:sz w:val="24"/>
          <w:szCs w:val="24"/>
        </w:rPr>
      </w:pPr>
    </w:p>
    <w:p w:rsidR="009E6F9C" w:rsidRDefault="009E6F9C" w:rsidP="009E6F9C">
      <w:pPr>
        <w:suppressAutoHyphens w:val="0"/>
        <w:spacing w:after="0" w:line="254" w:lineRule="auto"/>
        <w:ind w:left="4956"/>
        <w:jc w:val="both"/>
        <w:rPr>
          <w:rFonts w:ascii="Times New Roman" w:eastAsia="Calibri" w:hAnsi="Times New Roman"/>
          <w:b/>
          <w:bCs/>
          <w:sz w:val="24"/>
          <w:szCs w:val="24"/>
          <w:lang w:eastAsia="ar-SA"/>
        </w:rPr>
      </w:pPr>
    </w:p>
    <w:p w:rsidR="009E6F9C" w:rsidRDefault="009E6F9C" w:rsidP="009E6F9C">
      <w:pPr>
        <w:suppressAutoHyphens w:val="0"/>
        <w:spacing w:after="0" w:line="254" w:lineRule="auto"/>
        <w:ind w:left="4956"/>
        <w:jc w:val="center"/>
        <w:rPr>
          <w:rFonts w:ascii="Times New Roman" w:eastAsia="Calibri" w:hAnsi="Times New Roman"/>
          <w:b/>
          <w:bCs/>
          <w:sz w:val="24"/>
          <w:szCs w:val="24"/>
          <w:lang w:eastAsia="ar-SA"/>
        </w:rPr>
      </w:pPr>
      <w:r>
        <w:rPr>
          <w:rFonts w:ascii="Times New Roman" w:eastAsia="Calibri" w:hAnsi="Times New Roman"/>
          <w:b/>
          <w:bCs/>
          <w:sz w:val="24"/>
          <w:szCs w:val="24"/>
          <w:lang w:eastAsia="ar-SA"/>
        </w:rPr>
        <w:t>Przewodniczący</w:t>
      </w:r>
    </w:p>
    <w:p w:rsidR="009E6F9C" w:rsidRDefault="009E6F9C" w:rsidP="009E6F9C">
      <w:pPr>
        <w:suppressAutoHyphens w:val="0"/>
        <w:spacing w:after="0" w:line="254" w:lineRule="auto"/>
        <w:ind w:left="4956"/>
        <w:jc w:val="center"/>
        <w:rPr>
          <w:rFonts w:ascii="Times New Roman" w:eastAsia="Calibri" w:hAnsi="Times New Roman"/>
          <w:b/>
          <w:bCs/>
          <w:sz w:val="24"/>
          <w:szCs w:val="24"/>
          <w:lang w:eastAsia="ar-SA"/>
        </w:rPr>
      </w:pPr>
      <w:r>
        <w:rPr>
          <w:rFonts w:ascii="Times New Roman" w:eastAsia="Calibri" w:hAnsi="Times New Roman"/>
          <w:b/>
          <w:bCs/>
          <w:sz w:val="24"/>
          <w:szCs w:val="24"/>
          <w:lang w:eastAsia="ar-SA"/>
        </w:rPr>
        <w:t>Rady Miejskiej w Łodzi</w:t>
      </w:r>
    </w:p>
    <w:p w:rsidR="009E6F9C" w:rsidRDefault="009E6F9C" w:rsidP="009E6F9C">
      <w:pPr>
        <w:suppressAutoHyphens w:val="0"/>
        <w:spacing w:after="0" w:line="254" w:lineRule="auto"/>
        <w:ind w:left="4956"/>
        <w:jc w:val="center"/>
        <w:rPr>
          <w:rFonts w:ascii="Times New Roman" w:eastAsia="Calibri" w:hAnsi="Times New Roman"/>
          <w:b/>
          <w:bCs/>
          <w:sz w:val="24"/>
          <w:szCs w:val="24"/>
          <w:lang w:eastAsia="ar-SA"/>
        </w:rPr>
      </w:pPr>
    </w:p>
    <w:p w:rsidR="009E6F9C" w:rsidRDefault="009E6F9C" w:rsidP="009E6F9C">
      <w:pPr>
        <w:suppressAutoHyphens w:val="0"/>
        <w:spacing w:after="0" w:line="254" w:lineRule="auto"/>
        <w:ind w:left="4956"/>
        <w:jc w:val="center"/>
        <w:rPr>
          <w:rFonts w:ascii="Times New Roman" w:eastAsia="Calibri" w:hAnsi="Times New Roman"/>
          <w:b/>
          <w:bCs/>
          <w:sz w:val="24"/>
          <w:szCs w:val="24"/>
          <w:lang w:eastAsia="ar-SA"/>
        </w:rPr>
      </w:pPr>
    </w:p>
    <w:p w:rsidR="009E6F9C" w:rsidRDefault="009E6F9C" w:rsidP="009E6F9C">
      <w:pPr>
        <w:suppressAutoHyphens w:val="0"/>
        <w:spacing w:after="0" w:line="254" w:lineRule="auto"/>
        <w:ind w:left="4956"/>
        <w:jc w:val="center"/>
        <w:rPr>
          <w:rFonts w:ascii="Times New Roman" w:eastAsia="Calibri" w:hAnsi="Times New Roman"/>
          <w:b/>
          <w:bCs/>
          <w:sz w:val="24"/>
          <w:szCs w:val="24"/>
          <w:lang w:eastAsia="ar-SA"/>
        </w:rPr>
      </w:pPr>
    </w:p>
    <w:p w:rsidR="009E6F9C" w:rsidRDefault="009E6F9C" w:rsidP="009E6F9C">
      <w:pPr>
        <w:suppressAutoHyphens w:val="0"/>
        <w:spacing w:after="0" w:line="254" w:lineRule="auto"/>
        <w:ind w:left="4956"/>
        <w:jc w:val="center"/>
        <w:rPr>
          <w:rFonts w:ascii="Times New Roman" w:eastAsia="Calibri" w:hAnsi="Times New Roman"/>
          <w:b/>
          <w:bCs/>
          <w:sz w:val="24"/>
          <w:szCs w:val="24"/>
          <w:lang w:eastAsia="ar-SA"/>
        </w:rPr>
      </w:pPr>
      <w:r>
        <w:rPr>
          <w:rFonts w:ascii="Times New Roman" w:eastAsia="Calibri" w:hAnsi="Times New Roman"/>
          <w:b/>
          <w:bCs/>
          <w:sz w:val="24"/>
          <w:szCs w:val="24"/>
          <w:lang w:eastAsia="ar-SA"/>
        </w:rPr>
        <w:t>Bartosz DOMASZEWICZ</w:t>
      </w:r>
    </w:p>
    <w:p w:rsidR="009E6F9C" w:rsidRDefault="009E6F9C" w:rsidP="009E6F9C">
      <w:pPr>
        <w:suppressAutoHyphens w:val="0"/>
        <w:spacing w:after="0" w:line="254" w:lineRule="auto"/>
        <w:ind w:left="4956"/>
        <w:jc w:val="both"/>
        <w:rPr>
          <w:rFonts w:ascii="Times New Roman" w:eastAsia="Calibri" w:hAnsi="Times New Roman"/>
          <w:b/>
          <w:bCs/>
          <w:sz w:val="24"/>
          <w:szCs w:val="24"/>
          <w:lang w:eastAsia="ar-SA"/>
        </w:rPr>
      </w:pPr>
    </w:p>
    <w:p w:rsidR="009E6F9C" w:rsidRDefault="009E6F9C" w:rsidP="009E6F9C">
      <w:pPr>
        <w:suppressAutoHyphens w:val="0"/>
        <w:spacing w:after="0" w:line="254" w:lineRule="auto"/>
        <w:rPr>
          <w:rFonts w:ascii="Times New Roman" w:eastAsia="Calibri" w:hAnsi="Times New Roman"/>
          <w:b/>
          <w:bCs/>
          <w:sz w:val="24"/>
          <w:szCs w:val="24"/>
          <w:lang w:eastAsia="ar-SA"/>
        </w:rPr>
      </w:pP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uppressAutoHyphens w:val="0"/>
        <w:spacing w:after="0" w:line="254" w:lineRule="auto"/>
        <w:rPr>
          <w:rFonts w:ascii="Times New Roman" w:eastAsia="Calibri" w:hAnsi="Times New Roman"/>
          <w:sz w:val="24"/>
          <w:szCs w:val="24"/>
        </w:rPr>
      </w:pPr>
      <w:r>
        <w:rPr>
          <w:rFonts w:ascii="Times New Roman" w:eastAsia="Calibri" w:hAnsi="Times New Roman"/>
          <w:sz w:val="24"/>
          <w:szCs w:val="24"/>
        </w:rPr>
        <w:t>Projektodawcą uchwały jest</w:t>
      </w:r>
    </w:p>
    <w:p w:rsidR="009E6F9C" w:rsidRDefault="009E6F9C" w:rsidP="009E6F9C">
      <w:pPr>
        <w:suppressAutoHyphens w:val="0"/>
        <w:spacing w:after="0" w:line="254" w:lineRule="auto"/>
        <w:rPr>
          <w:rFonts w:ascii="Times New Roman" w:eastAsia="Calibri" w:hAnsi="Times New Roman"/>
          <w:sz w:val="24"/>
          <w:szCs w:val="24"/>
        </w:rPr>
      </w:pPr>
      <w:r>
        <w:rPr>
          <w:rFonts w:ascii="Times New Roman" w:eastAsia="Calibri" w:hAnsi="Times New Roman"/>
          <w:sz w:val="24"/>
          <w:szCs w:val="24"/>
        </w:rPr>
        <w:t>Komisja Skarg, Wniosków i Petycji</w:t>
      </w:r>
    </w:p>
    <w:p w:rsidR="009E6F9C" w:rsidRDefault="009E6F9C" w:rsidP="009E6F9C">
      <w:pPr>
        <w:suppressAutoHyphens w:val="0"/>
        <w:spacing w:after="0" w:line="254" w:lineRule="auto"/>
        <w:rPr>
          <w:rFonts w:ascii="Times New Roman" w:eastAsia="Calibri" w:hAnsi="Times New Roman"/>
          <w:sz w:val="24"/>
          <w:szCs w:val="24"/>
        </w:rPr>
      </w:pPr>
      <w:r>
        <w:rPr>
          <w:rFonts w:ascii="Times New Roman" w:eastAsia="Calibri" w:hAnsi="Times New Roman"/>
          <w:sz w:val="24"/>
          <w:szCs w:val="24"/>
        </w:rPr>
        <w:t>Rady Miejskiej w Łodzi</w:t>
      </w:r>
    </w:p>
    <w:p w:rsidR="009E6F9C" w:rsidRDefault="009E6F9C" w:rsidP="009E6F9C">
      <w:pPr>
        <w:suppressAutoHyphens w:val="0"/>
        <w:spacing w:after="0" w:line="254" w:lineRule="auto"/>
        <w:rPr>
          <w:rFonts w:ascii="Times New Roman" w:eastAsia="Calibri" w:hAnsi="Times New Roman"/>
          <w:sz w:val="24"/>
          <w:szCs w:val="24"/>
        </w:rPr>
      </w:pPr>
    </w:p>
    <w:p w:rsidR="009E6F9C" w:rsidRDefault="009E6F9C" w:rsidP="009E6F9C">
      <w:pPr>
        <w:spacing w:after="0" w:line="254" w:lineRule="auto"/>
        <w:ind w:left="5940"/>
        <w:rPr>
          <w:rFonts w:ascii="Times New Roman" w:hAnsi="Times New Roman"/>
          <w:sz w:val="24"/>
          <w:szCs w:val="24"/>
        </w:rPr>
      </w:pPr>
    </w:p>
    <w:p w:rsidR="009E6F9C" w:rsidRDefault="009E6F9C" w:rsidP="009E6F9C">
      <w:pPr>
        <w:spacing w:after="0" w:line="254" w:lineRule="auto"/>
        <w:ind w:left="5940"/>
        <w:rPr>
          <w:rFonts w:ascii="Times New Roman" w:hAnsi="Times New Roman"/>
          <w:sz w:val="24"/>
          <w:szCs w:val="24"/>
        </w:rPr>
      </w:pPr>
    </w:p>
    <w:p w:rsidR="009E6F9C" w:rsidRDefault="009E6F9C" w:rsidP="009E6F9C">
      <w:pPr>
        <w:spacing w:after="0" w:line="254" w:lineRule="auto"/>
        <w:ind w:left="5940"/>
        <w:rPr>
          <w:rFonts w:ascii="Times New Roman" w:hAnsi="Times New Roman"/>
          <w:sz w:val="24"/>
          <w:szCs w:val="24"/>
        </w:rPr>
      </w:pPr>
    </w:p>
    <w:p w:rsidR="009E6F9C" w:rsidRDefault="009E6F9C" w:rsidP="009E6F9C">
      <w:pPr>
        <w:spacing w:after="0" w:line="254" w:lineRule="auto"/>
        <w:ind w:left="5940"/>
        <w:rPr>
          <w:rFonts w:ascii="Times New Roman" w:hAnsi="Times New Roman"/>
          <w:sz w:val="24"/>
          <w:szCs w:val="24"/>
        </w:rPr>
      </w:pPr>
    </w:p>
    <w:p w:rsidR="009E6F9C" w:rsidRDefault="009E6F9C" w:rsidP="009E6F9C">
      <w:pPr>
        <w:spacing w:after="0" w:line="254" w:lineRule="auto"/>
        <w:ind w:left="5940"/>
        <w:rPr>
          <w:rFonts w:ascii="Times New Roman" w:hAnsi="Times New Roman"/>
          <w:sz w:val="24"/>
          <w:szCs w:val="24"/>
        </w:rPr>
      </w:pPr>
      <w:r>
        <w:rPr>
          <w:rFonts w:ascii="Times New Roman" w:hAnsi="Times New Roman"/>
          <w:sz w:val="24"/>
          <w:szCs w:val="24"/>
        </w:rPr>
        <w:t>Załącznik</w:t>
      </w:r>
    </w:p>
    <w:p w:rsidR="009E6F9C" w:rsidRDefault="009E6F9C" w:rsidP="009E6F9C">
      <w:pPr>
        <w:spacing w:after="0" w:line="254" w:lineRule="auto"/>
        <w:ind w:left="5940"/>
        <w:rPr>
          <w:rFonts w:ascii="Times New Roman" w:hAnsi="Times New Roman"/>
          <w:sz w:val="24"/>
          <w:szCs w:val="24"/>
        </w:rPr>
      </w:pPr>
      <w:r>
        <w:rPr>
          <w:rFonts w:ascii="Times New Roman" w:hAnsi="Times New Roman"/>
          <w:sz w:val="24"/>
          <w:szCs w:val="24"/>
        </w:rPr>
        <w:t>do uchwały Nr ………..</w:t>
      </w:r>
    </w:p>
    <w:p w:rsidR="009E6F9C" w:rsidRDefault="009E6F9C" w:rsidP="009E6F9C">
      <w:pPr>
        <w:spacing w:after="0" w:line="254" w:lineRule="auto"/>
        <w:ind w:left="5940"/>
        <w:rPr>
          <w:rFonts w:ascii="Times New Roman" w:hAnsi="Times New Roman"/>
          <w:sz w:val="24"/>
          <w:szCs w:val="24"/>
        </w:rPr>
      </w:pPr>
      <w:r>
        <w:rPr>
          <w:rFonts w:ascii="Times New Roman" w:hAnsi="Times New Roman"/>
          <w:sz w:val="24"/>
          <w:szCs w:val="24"/>
        </w:rPr>
        <w:t>Rady Miejskiej w Łodzi</w:t>
      </w:r>
    </w:p>
    <w:p w:rsidR="009E6F9C" w:rsidRDefault="009E6F9C" w:rsidP="009E6F9C">
      <w:pPr>
        <w:spacing w:after="0" w:line="254" w:lineRule="auto"/>
        <w:ind w:left="5940"/>
        <w:rPr>
          <w:rFonts w:ascii="Times New Roman" w:hAnsi="Times New Roman"/>
          <w:sz w:val="24"/>
          <w:szCs w:val="24"/>
        </w:rPr>
      </w:pPr>
      <w:r>
        <w:rPr>
          <w:rFonts w:ascii="Times New Roman" w:hAnsi="Times New Roman"/>
          <w:sz w:val="24"/>
          <w:szCs w:val="24"/>
        </w:rPr>
        <w:t>z dnia …………………….</w:t>
      </w:r>
    </w:p>
    <w:p w:rsidR="009E6F9C" w:rsidRDefault="009E6F9C" w:rsidP="009E6F9C">
      <w:pPr>
        <w:spacing w:after="0" w:line="254" w:lineRule="auto"/>
        <w:jc w:val="center"/>
        <w:rPr>
          <w:rFonts w:ascii="Times New Roman" w:hAnsi="Times New Roman"/>
          <w:sz w:val="24"/>
          <w:szCs w:val="24"/>
        </w:rPr>
      </w:pPr>
    </w:p>
    <w:p w:rsidR="009E6F9C" w:rsidRDefault="009E6F9C" w:rsidP="009E6F9C">
      <w:pPr>
        <w:spacing w:after="0" w:line="254" w:lineRule="auto"/>
        <w:jc w:val="center"/>
        <w:rPr>
          <w:rFonts w:ascii="Times New Roman" w:hAnsi="Times New Roman"/>
          <w:sz w:val="24"/>
          <w:szCs w:val="24"/>
        </w:rPr>
      </w:pPr>
    </w:p>
    <w:p w:rsidR="009E6F9C" w:rsidRDefault="009E6F9C" w:rsidP="009E6F9C">
      <w:pPr>
        <w:spacing w:after="0" w:line="254" w:lineRule="auto"/>
        <w:jc w:val="center"/>
        <w:rPr>
          <w:rFonts w:ascii="Times New Roman" w:hAnsi="Times New Roman"/>
          <w:sz w:val="24"/>
          <w:szCs w:val="24"/>
        </w:rPr>
      </w:pPr>
      <w:r>
        <w:rPr>
          <w:rFonts w:ascii="Times New Roman" w:hAnsi="Times New Roman"/>
          <w:sz w:val="24"/>
          <w:szCs w:val="24"/>
        </w:rPr>
        <w:t>UZASADNIENIE</w:t>
      </w:r>
    </w:p>
    <w:p w:rsidR="009E6F9C" w:rsidRDefault="009E6F9C" w:rsidP="009E6F9C">
      <w:pPr>
        <w:shd w:val="clear" w:color="auto" w:fill="FFFFFF"/>
        <w:spacing w:after="0" w:line="254" w:lineRule="auto"/>
        <w:jc w:val="both"/>
        <w:rPr>
          <w:rFonts w:ascii="Times New Roman" w:eastAsia="Calibri" w:hAnsi="Times New Roman"/>
          <w:sz w:val="24"/>
          <w:szCs w:val="24"/>
          <w:lang w:eastAsia="ar-SA"/>
        </w:rPr>
      </w:pPr>
    </w:p>
    <w:bookmarkEnd w:id="0"/>
    <w:p w:rsidR="009E6F9C" w:rsidRPr="00677C90" w:rsidRDefault="009E6F9C" w:rsidP="009E6F9C">
      <w:pPr>
        <w:suppressAutoHyphens w:val="0"/>
        <w:autoSpaceDE w:val="0"/>
        <w:adjustRightInd w:val="0"/>
        <w:spacing w:after="0" w:line="254" w:lineRule="auto"/>
        <w:ind w:firstLine="567"/>
        <w:jc w:val="both"/>
        <w:rPr>
          <w:rFonts w:ascii="Times New Roman" w:hAnsi="Times New Roman"/>
          <w:sz w:val="24"/>
          <w:szCs w:val="24"/>
        </w:rPr>
      </w:pPr>
      <w:r>
        <w:rPr>
          <w:rFonts w:ascii="Times New Roman" w:eastAsia="Calibri" w:hAnsi="Times New Roman"/>
          <w:sz w:val="24"/>
          <w:szCs w:val="24"/>
          <w:lang w:eastAsia="ar-SA"/>
        </w:rPr>
        <w:t xml:space="preserve">Do Rady Miejskiej w Łodzi wpłynął </w:t>
      </w:r>
      <w:r w:rsidRPr="00E15E2C">
        <w:rPr>
          <w:rFonts w:ascii="Times New Roman" w:hAnsi="Times New Roman"/>
          <w:sz w:val="24"/>
          <w:szCs w:val="24"/>
        </w:rPr>
        <w:t>wniosek Łódzkiego Stowarzyszenia Lokatorów w</w:t>
      </w:r>
      <w:r>
        <w:rPr>
          <w:rFonts w:ascii="Times New Roman" w:hAnsi="Times New Roman"/>
          <w:sz w:val="24"/>
          <w:szCs w:val="24"/>
        </w:rPr>
        <w:t> </w:t>
      </w:r>
      <w:r w:rsidRPr="00E15E2C">
        <w:rPr>
          <w:rFonts w:ascii="Times New Roman" w:hAnsi="Times New Roman"/>
          <w:sz w:val="24"/>
          <w:szCs w:val="24"/>
        </w:rPr>
        <w:t xml:space="preserve">sprawie </w:t>
      </w:r>
      <w:r w:rsidRPr="00677C90">
        <w:rPr>
          <w:rFonts w:ascii="Times New Roman" w:hAnsi="Times New Roman"/>
          <w:sz w:val="24"/>
          <w:szCs w:val="24"/>
        </w:rPr>
        <w:t>uchyleni</w:t>
      </w:r>
      <w:r>
        <w:rPr>
          <w:rFonts w:ascii="Times New Roman" w:hAnsi="Times New Roman"/>
          <w:sz w:val="24"/>
          <w:szCs w:val="24"/>
        </w:rPr>
        <w:t>a</w:t>
      </w:r>
      <w:r w:rsidRPr="00677C90">
        <w:rPr>
          <w:rFonts w:ascii="Times New Roman" w:hAnsi="Times New Roman"/>
          <w:sz w:val="24"/>
          <w:szCs w:val="24"/>
        </w:rPr>
        <w:t xml:space="preserve"> w § 8 załącznika do uchwały Nr XX/560/25 Rady Miejskiej</w:t>
      </w:r>
      <w:r>
        <w:rPr>
          <w:rFonts w:ascii="Times New Roman" w:hAnsi="Times New Roman"/>
          <w:sz w:val="24"/>
          <w:szCs w:val="24"/>
        </w:rPr>
        <w:t xml:space="preserve"> </w:t>
      </w:r>
      <w:r w:rsidRPr="00677C90">
        <w:rPr>
          <w:rFonts w:ascii="Times New Roman" w:hAnsi="Times New Roman"/>
          <w:sz w:val="24"/>
          <w:szCs w:val="24"/>
        </w:rPr>
        <w:t>w Łodzi z</w:t>
      </w:r>
      <w:r>
        <w:rPr>
          <w:rFonts w:ascii="Times New Roman" w:hAnsi="Times New Roman"/>
          <w:sz w:val="24"/>
          <w:szCs w:val="24"/>
        </w:rPr>
        <w:t> </w:t>
      </w:r>
      <w:r w:rsidRPr="00677C90">
        <w:rPr>
          <w:rFonts w:ascii="Times New Roman" w:hAnsi="Times New Roman"/>
          <w:sz w:val="24"/>
          <w:szCs w:val="24"/>
        </w:rPr>
        <w:t>dnia 3 września 2025 r. w sprawie przyjęcia Wieloletniego programu</w:t>
      </w:r>
      <w:r>
        <w:rPr>
          <w:rFonts w:ascii="Times New Roman" w:hAnsi="Times New Roman"/>
          <w:sz w:val="24"/>
          <w:szCs w:val="24"/>
        </w:rPr>
        <w:t xml:space="preserve"> </w:t>
      </w:r>
      <w:r w:rsidRPr="00677C90">
        <w:rPr>
          <w:rFonts w:ascii="Times New Roman" w:hAnsi="Times New Roman"/>
          <w:sz w:val="24"/>
          <w:szCs w:val="24"/>
        </w:rPr>
        <w:t>gospodarowania mieszkaniowym zasobem Miasta Łodzi na lata 2025-2030</w:t>
      </w:r>
      <w:r>
        <w:rPr>
          <w:rFonts w:ascii="Times New Roman" w:hAnsi="Times New Roman"/>
          <w:sz w:val="24"/>
          <w:szCs w:val="24"/>
        </w:rPr>
        <w:t xml:space="preserve"> </w:t>
      </w:r>
      <w:r w:rsidRPr="00677C90">
        <w:rPr>
          <w:rFonts w:ascii="Times New Roman" w:hAnsi="Times New Roman"/>
          <w:sz w:val="24"/>
          <w:szCs w:val="24"/>
        </w:rPr>
        <w:t>(Dz. Urz. Woj. Łódzkiego z dnia 9</w:t>
      </w:r>
      <w:r>
        <w:rPr>
          <w:rFonts w:ascii="Times New Roman" w:hAnsi="Times New Roman"/>
          <w:sz w:val="24"/>
          <w:szCs w:val="24"/>
        </w:rPr>
        <w:t> </w:t>
      </w:r>
      <w:r w:rsidRPr="00677C90">
        <w:rPr>
          <w:rFonts w:ascii="Times New Roman" w:hAnsi="Times New Roman"/>
          <w:sz w:val="24"/>
          <w:szCs w:val="24"/>
        </w:rPr>
        <w:t>września 2025 r. poz. 8835) ze zm.,</w:t>
      </w:r>
      <w:r>
        <w:rPr>
          <w:rFonts w:ascii="Times New Roman" w:hAnsi="Times New Roman"/>
          <w:sz w:val="24"/>
          <w:szCs w:val="24"/>
        </w:rPr>
        <w:t xml:space="preserve"> </w:t>
      </w:r>
      <w:r w:rsidRPr="00677C90">
        <w:rPr>
          <w:rFonts w:ascii="Times New Roman" w:hAnsi="Times New Roman"/>
          <w:sz w:val="24"/>
          <w:szCs w:val="24"/>
        </w:rPr>
        <w:t>czynników podwyższających stawkę bazową czynszu za</w:t>
      </w:r>
      <w:r>
        <w:rPr>
          <w:rFonts w:ascii="Times New Roman" w:hAnsi="Times New Roman"/>
          <w:sz w:val="24"/>
          <w:szCs w:val="24"/>
        </w:rPr>
        <w:t> </w:t>
      </w:r>
      <w:r w:rsidRPr="00677C90">
        <w:rPr>
          <w:rFonts w:ascii="Times New Roman" w:hAnsi="Times New Roman"/>
          <w:sz w:val="24"/>
          <w:szCs w:val="24"/>
        </w:rPr>
        <w:t>najem:</w:t>
      </w:r>
    </w:p>
    <w:p w:rsidR="009E6F9C" w:rsidRPr="00677C90" w:rsidRDefault="009E6F9C" w:rsidP="009E6F9C">
      <w:pPr>
        <w:suppressAutoHyphens w:val="0"/>
        <w:autoSpaceDE w:val="0"/>
        <w:adjustRightInd w:val="0"/>
        <w:spacing w:after="0" w:line="254" w:lineRule="auto"/>
        <w:jc w:val="both"/>
        <w:rPr>
          <w:rFonts w:ascii="Times New Roman" w:hAnsi="Times New Roman"/>
          <w:sz w:val="24"/>
          <w:szCs w:val="24"/>
        </w:rPr>
      </w:pPr>
      <w:r w:rsidRPr="00677C90">
        <w:rPr>
          <w:rFonts w:ascii="Times New Roman" w:hAnsi="Times New Roman"/>
          <w:sz w:val="24"/>
          <w:szCs w:val="24"/>
        </w:rPr>
        <w:t>- lokali mieszkalnych usytuowanych w domach jednorodzinnych (jednolokalowych);</w:t>
      </w:r>
    </w:p>
    <w:p w:rsidR="009E6F9C" w:rsidRPr="00677C90" w:rsidRDefault="009E6F9C" w:rsidP="009E6F9C">
      <w:pPr>
        <w:suppressAutoHyphens w:val="0"/>
        <w:autoSpaceDE w:val="0"/>
        <w:adjustRightInd w:val="0"/>
        <w:spacing w:after="0" w:line="254" w:lineRule="auto"/>
        <w:jc w:val="both"/>
        <w:rPr>
          <w:rFonts w:ascii="Times New Roman" w:hAnsi="Times New Roman"/>
          <w:sz w:val="24"/>
          <w:szCs w:val="24"/>
        </w:rPr>
      </w:pPr>
      <w:r w:rsidRPr="00677C90">
        <w:rPr>
          <w:rFonts w:ascii="Times New Roman" w:hAnsi="Times New Roman"/>
          <w:sz w:val="24"/>
          <w:szCs w:val="24"/>
        </w:rPr>
        <w:t>- lokali mieszkalnych usytuowanych w budynkach wyposażonych w windy;</w:t>
      </w:r>
    </w:p>
    <w:p w:rsidR="009E6F9C" w:rsidRPr="00677C90" w:rsidRDefault="009E6F9C" w:rsidP="009E6F9C">
      <w:pPr>
        <w:suppressAutoHyphens w:val="0"/>
        <w:autoSpaceDE w:val="0"/>
        <w:adjustRightInd w:val="0"/>
        <w:spacing w:after="0" w:line="254" w:lineRule="auto"/>
        <w:rPr>
          <w:rFonts w:ascii="Times New Roman" w:eastAsiaTheme="minorHAnsi" w:hAnsi="Times New Roman"/>
          <w:sz w:val="24"/>
          <w:szCs w:val="24"/>
        </w:rPr>
      </w:pPr>
      <w:r w:rsidRPr="00677C90">
        <w:rPr>
          <w:rFonts w:ascii="Times New Roman" w:eastAsiaTheme="minorHAnsi" w:hAnsi="Times New Roman"/>
          <w:sz w:val="24"/>
          <w:szCs w:val="24"/>
        </w:rPr>
        <w:t>- lokali mieszkalnych usytuowanych w zasobie nowym oraz zrewitalizowanym (na obszarze strefy rewitalizacji określonej w Gminnym Programie Rewitalizacji Miasta Łodzi);</w:t>
      </w:r>
    </w:p>
    <w:p w:rsidR="009E6F9C" w:rsidRPr="00677C90" w:rsidRDefault="009E6F9C" w:rsidP="009E6F9C">
      <w:pPr>
        <w:suppressAutoHyphens w:val="0"/>
        <w:autoSpaceDE w:val="0"/>
        <w:adjustRightInd w:val="0"/>
        <w:spacing w:after="0" w:line="254" w:lineRule="auto"/>
        <w:rPr>
          <w:rFonts w:ascii="Times New Roman" w:eastAsiaTheme="minorHAnsi" w:hAnsi="Times New Roman"/>
          <w:sz w:val="24"/>
          <w:szCs w:val="24"/>
        </w:rPr>
      </w:pPr>
      <w:r w:rsidRPr="00677C90">
        <w:rPr>
          <w:rFonts w:ascii="Times New Roman" w:eastAsiaTheme="minorHAnsi" w:hAnsi="Times New Roman"/>
          <w:sz w:val="24"/>
          <w:szCs w:val="24"/>
        </w:rPr>
        <w:t>- lokali mieszkalnych usytuowanych w tzw. blokach lub budynkach</w:t>
      </w:r>
    </w:p>
    <w:p w:rsidR="009E6F9C" w:rsidRDefault="009E6F9C" w:rsidP="009E6F9C">
      <w:pPr>
        <w:suppressAutoHyphens w:val="0"/>
        <w:autoSpaceDE w:val="0"/>
        <w:adjustRightInd w:val="0"/>
        <w:spacing w:after="0" w:line="254" w:lineRule="auto"/>
        <w:jc w:val="both"/>
        <w:rPr>
          <w:rFonts w:ascii="Times New Roman" w:eastAsiaTheme="minorHAnsi" w:hAnsi="Times New Roman"/>
          <w:sz w:val="24"/>
          <w:szCs w:val="24"/>
        </w:rPr>
      </w:pPr>
      <w:r w:rsidRPr="00677C90">
        <w:rPr>
          <w:rFonts w:ascii="Times New Roman" w:eastAsiaTheme="minorHAnsi" w:hAnsi="Times New Roman"/>
          <w:sz w:val="24"/>
          <w:szCs w:val="24"/>
        </w:rPr>
        <w:t>po generalnym remoncie.</w:t>
      </w:r>
    </w:p>
    <w:p w:rsidR="009E6F9C" w:rsidRDefault="009E6F9C" w:rsidP="009E6F9C">
      <w:pPr>
        <w:spacing w:after="0" w:line="254" w:lineRule="auto"/>
        <w:ind w:firstLine="567"/>
        <w:jc w:val="both"/>
        <w:rPr>
          <w:rFonts w:ascii="Times New Roman" w:hAnsi="Times New Roman"/>
          <w:sz w:val="24"/>
          <w:szCs w:val="24"/>
        </w:rPr>
      </w:pPr>
      <w:r w:rsidRPr="00000F8B">
        <w:rPr>
          <w:rFonts w:ascii="Times New Roman" w:hAnsi="Times New Roman"/>
          <w:sz w:val="24"/>
          <w:szCs w:val="24"/>
        </w:rPr>
        <w:t>Jednocześnie Stowarzyszenie wnosi o wstrzymanie stosowania</w:t>
      </w:r>
      <w:r>
        <w:rPr>
          <w:rFonts w:ascii="Times New Roman" w:hAnsi="Times New Roman"/>
          <w:sz w:val="24"/>
          <w:szCs w:val="24"/>
        </w:rPr>
        <w:t xml:space="preserve"> </w:t>
      </w:r>
      <w:r w:rsidRPr="00000F8B">
        <w:rPr>
          <w:rFonts w:ascii="Times New Roman" w:hAnsi="Times New Roman"/>
          <w:sz w:val="24"/>
          <w:szCs w:val="24"/>
        </w:rPr>
        <w:t>ww. podwyżek czynszu do czasu dokonania ich rewizji, przedstawienie</w:t>
      </w:r>
      <w:r>
        <w:rPr>
          <w:rFonts w:ascii="Times New Roman" w:hAnsi="Times New Roman"/>
          <w:sz w:val="24"/>
          <w:szCs w:val="24"/>
        </w:rPr>
        <w:t xml:space="preserve"> </w:t>
      </w:r>
      <w:r w:rsidRPr="00000F8B">
        <w:rPr>
          <w:rFonts w:ascii="Times New Roman" w:hAnsi="Times New Roman"/>
          <w:sz w:val="24"/>
          <w:szCs w:val="24"/>
        </w:rPr>
        <w:t>mieszkańcom pełnej kalkulacji kosztów, które miałyby uzasadnić podwyżkę</w:t>
      </w:r>
      <w:r>
        <w:rPr>
          <w:rFonts w:ascii="Times New Roman" w:hAnsi="Times New Roman"/>
          <w:sz w:val="24"/>
          <w:szCs w:val="24"/>
        </w:rPr>
        <w:t xml:space="preserve"> </w:t>
      </w:r>
      <w:r w:rsidRPr="00000F8B">
        <w:rPr>
          <w:rFonts w:ascii="Times New Roman" w:hAnsi="Times New Roman"/>
          <w:sz w:val="24"/>
          <w:szCs w:val="24"/>
        </w:rPr>
        <w:t>dla lokali na obszarze Specjalnej Strefy Rewitalizacji oraz przeprowadzenie</w:t>
      </w:r>
      <w:r>
        <w:rPr>
          <w:rFonts w:ascii="Times New Roman" w:hAnsi="Times New Roman"/>
          <w:sz w:val="24"/>
          <w:szCs w:val="24"/>
        </w:rPr>
        <w:t xml:space="preserve"> </w:t>
      </w:r>
      <w:r w:rsidRPr="00000F8B">
        <w:rPr>
          <w:rFonts w:ascii="Times New Roman" w:hAnsi="Times New Roman"/>
          <w:sz w:val="24"/>
          <w:szCs w:val="24"/>
        </w:rPr>
        <w:t>konsultacji społecznych w sprawie polityki czynszowej na terenach</w:t>
      </w:r>
      <w:r>
        <w:rPr>
          <w:rFonts w:ascii="Times New Roman" w:hAnsi="Times New Roman"/>
          <w:sz w:val="24"/>
          <w:szCs w:val="24"/>
        </w:rPr>
        <w:t xml:space="preserve"> </w:t>
      </w:r>
      <w:r w:rsidRPr="00000F8B">
        <w:rPr>
          <w:rFonts w:ascii="Times New Roman" w:hAnsi="Times New Roman"/>
          <w:sz w:val="24"/>
          <w:szCs w:val="24"/>
        </w:rPr>
        <w:t>zrewitalizowanych, ze szczególnym uwzględnieniem osób zagrożonyc</w:t>
      </w:r>
      <w:r>
        <w:rPr>
          <w:rFonts w:ascii="Times New Roman" w:hAnsi="Times New Roman"/>
          <w:sz w:val="24"/>
          <w:szCs w:val="24"/>
        </w:rPr>
        <w:t xml:space="preserve">h </w:t>
      </w:r>
      <w:r w:rsidRPr="00000F8B">
        <w:rPr>
          <w:rFonts w:ascii="Times New Roman" w:hAnsi="Times New Roman"/>
          <w:sz w:val="24"/>
          <w:szCs w:val="24"/>
        </w:rPr>
        <w:t>wykluczeniem mieszkaniowym.</w:t>
      </w:r>
      <w:r>
        <w:rPr>
          <w:rFonts w:ascii="Times New Roman" w:hAnsi="Times New Roman"/>
          <w:sz w:val="24"/>
          <w:szCs w:val="24"/>
        </w:rPr>
        <w:t xml:space="preserve"> </w:t>
      </w:r>
      <w:r w:rsidRPr="00000F8B">
        <w:rPr>
          <w:rFonts w:ascii="Times New Roman" w:hAnsi="Times New Roman"/>
          <w:sz w:val="24"/>
          <w:szCs w:val="24"/>
        </w:rPr>
        <w:t>W uzasadnieniu wniosku Łódzkie Stowarzyszenie Lokatorów wskazuje,</w:t>
      </w:r>
      <w:r>
        <w:rPr>
          <w:rFonts w:ascii="Times New Roman" w:hAnsi="Times New Roman"/>
          <w:sz w:val="24"/>
          <w:szCs w:val="24"/>
        </w:rPr>
        <w:t xml:space="preserve"> </w:t>
      </w:r>
      <w:r w:rsidRPr="00000F8B">
        <w:rPr>
          <w:rFonts w:ascii="Times New Roman" w:hAnsi="Times New Roman"/>
          <w:sz w:val="24"/>
          <w:szCs w:val="24"/>
        </w:rPr>
        <w:t>że zgodnie z art. 21 ust. 2 pkt 4 ustawy z dnia 21 czerwca 2001 r. o ochronie</w:t>
      </w:r>
      <w:r>
        <w:rPr>
          <w:rFonts w:ascii="Times New Roman" w:hAnsi="Times New Roman"/>
          <w:sz w:val="24"/>
          <w:szCs w:val="24"/>
        </w:rPr>
        <w:t xml:space="preserve"> </w:t>
      </w:r>
      <w:r w:rsidRPr="00000F8B">
        <w:rPr>
          <w:rFonts w:ascii="Times New Roman" w:hAnsi="Times New Roman"/>
          <w:sz w:val="24"/>
          <w:szCs w:val="24"/>
        </w:rPr>
        <w:t>praw lokatorów, mieszkaniowym zasobie gminy i zmianie Kodeksu cywilnego,</w:t>
      </w:r>
      <w:r>
        <w:rPr>
          <w:rFonts w:ascii="Times New Roman" w:hAnsi="Times New Roman"/>
          <w:sz w:val="24"/>
          <w:szCs w:val="24"/>
        </w:rPr>
        <w:t xml:space="preserve"> </w:t>
      </w:r>
      <w:r w:rsidRPr="00000F8B">
        <w:rPr>
          <w:rFonts w:ascii="Times New Roman" w:hAnsi="Times New Roman"/>
          <w:sz w:val="24"/>
          <w:szCs w:val="24"/>
        </w:rPr>
        <w:t>wieloletni program gospodarowania mieszkaniowym zasobu gminy może</w:t>
      </w:r>
      <w:r>
        <w:rPr>
          <w:rFonts w:ascii="Times New Roman" w:hAnsi="Times New Roman"/>
          <w:sz w:val="24"/>
          <w:szCs w:val="24"/>
        </w:rPr>
        <w:t xml:space="preserve"> </w:t>
      </w:r>
      <w:r w:rsidRPr="00000F8B">
        <w:rPr>
          <w:rFonts w:ascii="Times New Roman" w:hAnsi="Times New Roman"/>
          <w:sz w:val="24"/>
          <w:szCs w:val="24"/>
        </w:rPr>
        <w:t>zawierać „zasady polityki czynszowej oraz warunki obniżania czynszu”.</w:t>
      </w:r>
      <w:r>
        <w:rPr>
          <w:rFonts w:ascii="Times New Roman" w:hAnsi="Times New Roman"/>
          <w:sz w:val="24"/>
          <w:szCs w:val="24"/>
        </w:rPr>
        <w:t xml:space="preserve"> </w:t>
      </w:r>
      <w:r w:rsidRPr="00000F8B">
        <w:rPr>
          <w:rFonts w:ascii="Times New Roman" w:hAnsi="Times New Roman"/>
          <w:sz w:val="24"/>
          <w:szCs w:val="24"/>
        </w:rPr>
        <w:t>Według Stowarzyszenia w ww. ustawie nigdzie nie jest wspomniane</w:t>
      </w:r>
      <w:r>
        <w:rPr>
          <w:rFonts w:ascii="Times New Roman" w:hAnsi="Times New Roman"/>
          <w:sz w:val="24"/>
          <w:szCs w:val="24"/>
        </w:rPr>
        <w:t xml:space="preserve"> </w:t>
      </w:r>
      <w:r w:rsidRPr="00000F8B">
        <w:rPr>
          <w:rFonts w:ascii="Times New Roman" w:hAnsi="Times New Roman"/>
          <w:sz w:val="24"/>
          <w:szCs w:val="24"/>
        </w:rPr>
        <w:t>o warunkach podwyższających czynsz jako dozwolonym elemencie</w:t>
      </w:r>
      <w:r>
        <w:rPr>
          <w:rFonts w:ascii="Times New Roman" w:hAnsi="Times New Roman"/>
          <w:sz w:val="24"/>
          <w:szCs w:val="24"/>
        </w:rPr>
        <w:t xml:space="preserve"> </w:t>
      </w:r>
      <w:r w:rsidRPr="00000F8B">
        <w:rPr>
          <w:rFonts w:ascii="Times New Roman" w:hAnsi="Times New Roman"/>
          <w:sz w:val="24"/>
          <w:szCs w:val="24"/>
        </w:rPr>
        <w:t>programów gospodarowania zasobem mieszkaniowym gminy.</w:t>
      </w:r>
    </w:p>
    <w:p w:rsidR="009E6F9C" w:rsidRDefault="009E6F9C" w:rsidP="009E6F9C">
      <w:pPr>
        <w:shd w:val="clear" w:color="auto" w:fill="FFFFFF"/>
        <w:spacing w:after="0" w:line="254" w:lineRule="auto"/>
        <w:jc w:val="both"/>
        <w:rPr>
          <w:rFonts w:ascii="Times New Roman" w:eastAsia="Calibri" w:hAnsi="Times New Roman"/>
          <w:sz w:val="24"/>
          <w:szCs w:val="24"/>
          <w:lang w:eastAsia="ar-SA"/>
        </w:rPr>
      </w:pPr>
    </w:p>
    <w:p w:rsidR="009E6F9C" w:rsidRDefault="009E6F9C" w:rsidP="009E6F9C">
      <w:pPr>
        <w:spacing w:after="0" w:line="254" w:lineRule="auto"/>
        <w:ind w:firstLine="567"/>
        <w:jc w:val="both"/>
        <w:rPr>
          <w:rFonts w:ascii="Times New Roman" w:hAnsi="Times New Roman"/>
          <w:sz w:val="24"/>
          <w:szCs w:val="24"/>
        </w:rPr>
      </w:pPr>
      <w:r>
        <w:rPr>
          <w:rFonts w:ascii="Times New Roman" w:hAnsi="Times New Roman"/>
          <w:sz w:val="24"/>
          <w:szCs w:val="24"/>
        </w:rPr>
        <w:t>Na podstawie art. 244 § 2 Kodeksu postępowania administracyjnego, Rada Miejska w Łodzi zawiadamia o następującym sposobie załatwienia wniosku.</w:t>
      </w:r>
    </w:p>
    <w:p w:rsidR="009E6F9C" w:rsidRDefault="009E6F9C" w:rsidP="009E6F9C">
      <w:pPr>
        <w:spacing w:after="0" w:line="254" w:lineRule="auto"/>
        <w:jc w:val="both"/>
        <w:rPr>
          <w:rFonts w:ascii="Times New Roman" w:hAnsi="Times New Roman"/>
          <w:sz w:val="24"/>
          <w:szCs w:val="24"/>
        </w:rPr>
      </w:pPr>
    </w:p>
    <w:p w:rsidR="009E6F9C" w:rsidRDefault="009E6F9C" w:rsidP="009E6F9C">
      <w:pPr>
        <w:spacing w:after="0" w:line="254" w:lineRule="auto"/>
        <w:ind w:firstLine="567"/>
        <w:jc w:val="both"/>
        <w:rPr>
          <w:rFonts w:ascii="Times New Roman" w:eastAsiaTheme="minorHAnsi" w:hAnsi="Times New Roman"/>
          <w:sz w:val="24"/>
          <w:szCs w:val="24"/>
        </w:rPr>
      </w:pPr>
      <w:r w:rsidRPr="00000F8B">
        <w:rPr>
          <w:rFonts w:ascii="Times New Roman" w:eastAsiaTheme="minorHAnsi" w:hAnsi="Times New Roman"/>
          <w:sz w:val="24"/>
          <w:szCs w:val="24"/>
        </w:rPr>
        <w:t>W odniesieniu do powyższego stwierdzenia należy wyjaśnić, że zgodnie z cytowanym art. 21 ust. 2 ustawy z dnia 21 czerwca 2001 r. o ochronie praw lokatorów, mieszkaniowy zasobie gminy i zmianie Kodeksu cywilnego (</w:t>
      </w:r>
      <w:proofErr w:type="spellStart"/>
      <w:r w:rsidRPr="00000F8B">
        <w:rPr>
          <w:rFonts w:ascii="Times New Roman" w:eastAsiaTheme="minorHAnsi" w:hAnsi="Times New Roman"/>
          <w:sz w:val="24"/>
          <w:szCs w:val="24"/>
        </w:rPr>
        <w:t>t.j</w:t>
      </w:r>
      <w:proofErr w:type="spellEnd"/>
      <w:r w:rsidRPr="00000F8B">
        <w:rPr>
          <w:rFonts w:ascii="Times New Roman" w:eastAsiaTheme="minorHAnsi" w:hAnsi="Times New Roman"/>
          <w:sz w:val="24"/>
          <w:szCs w:val="24"/>
        </w:rPr>
        <w:t>. Dz. U. z 2023 r. poz. 725), wieloletni program gospodarowania mieszkaniowym zasobem gminy powinien być opracowany na okres co</w:t>
      </w:r>
      <w:r>
        <w:rPr>
          <w:rFonts w:ascii="Times New Roman" w:eastAsiaTheme="minorHAnsi" w:hAnsi="Times New Roman"/>
          <w:sz w:val="24"/>
          <w:szCs w:val="24"/>
        </w:rPr>
        <w:t> </w:t>
      </w:r>
      <w:r w:rsidRPr="00000F8B">
        <w:rPr>
          <w:rFonts w:ascii="Times New Roman" w:eastAsiaTheme="minorHAnsi" w:hAnsi="Times New Roman"/>
          <w:sz w:val="24"/>
          <w:szCs w:val="24"/>
        </w:rPr>
        <w:t>najmniej pięciu kolejnych lat i obejmować w szczególności wskazane w tym przepisie elementy m.in. zasady polityki czynszowej oraz warunki obniżania czynszu. Sformułowanie „w</w:t>
      </w:r>
      <w:r>
        <w:rPr>
          <w:rFonts w:ascii="Times New Roman" w:eastAsiaTheme="minorHAnsi" w:hAnsi="Times New Roman"/>
          <w:sz w:val="24"/>
          <w:szCs w:val="24"/>
        </w:rPr>
        <w:t> </w:t>
      </w:r>
      <w:r w:rsidRPr="00000F8B">
        <w:rPr>
          <w:rFonts w:ascii="Times New Roman" w:eastAsiaTheme="minorHAnsi" w:hAnsi="Times New Roman"/>
          <w:sz w:val="24"/>
          <w:szCs w:val="24"/>
        </w:rPr>
        <w:t>szczególności” oznacza, iż wymieniony w tym przepisie katalog elementów programu nie</w:t>
      </w:r>
      <w:r>
        <w:rPr>
          <w:rFonts w:ascii="Times New Roman" w:eastAsiaTheme="minorHAnsi" w:hAnsi="Times New Roman"/>
          <w:sz w:val="24"/>
          <w:szCs w:val="24"/>
        </w:rPr>
        <w:t> </w:t>
      </w:r>
      <w:r w:rsidRPr="00000F8B">
        <w:rPr>
          <w:rFonts w:ascii="Times New Roman" w:eastAsiaTheme="minorHAnsi" w:hAnsi="Times New Roman"/>
          <w:sz w:val="24"/>
          <w:szCs w:val="24"/>
        </w:rPr>
        <w:t>ma charakteru zamkniętego, lecz minimalny, który jest obowiązkowy. Program mieszkaniowy nie musi składać się tylko z elementów obowiązkowo narzuconych przez ustawodawcę. Przepis</w:t>
      </w:r>
      <w:r>
        <w:rPr>
          <w:rFonts w:ascii="Times New Roman" w:eastAsiaTheme="minorHAnsi" w:hAnsi="Times New Roman"/>
          <w:sz w:val="24"/>
          <w:szCs w:val="24"/>
        </w:rPr>
        <w:t xml:space="preserve"> </w:t>
      </w:r>
      <w:r w:rsidRPr="00000F8B">
        <w:rPr>
          <w:rFonts w:ascii="Times New Roman" w:eastAsiaTheme="minorHAnsi" w:hAnsi="Times New Roman"/>
          <w:sz w:val="24"/>
          <w:szCs w:val="24"/>
        </w:rPr>
        <w:t>ten wyznacza jedynie podstawowy zakres treści, które bezwzględnie powinny zostać ujęte w wieloletnim programie gospodarowania mieszkaniowym zasobem gminy, nie wyczerpując jednocześnie wszystkich możliwych ani dopuszczalnych zagadnień. Jednocześnie art. 7 ust. 1 wskazanej ustawy upoważnia gminę do ustalenia stawki czynszu za</w:t>
      </w:r>
      <w:r>
        <w:rPr>
          <w:rFonts w:ascii="Times New Roman" w:eastAsiaTheme="minorHAnsi" w:hAnsi="Times New Roman"/>
          <w:sz w:val="24"/>
          <w:szCs w:val="24"/>
        </w:rPr>
        <w:t> </w:t>
      </w:r>
      <w:r w:rsidRPr="00000F8B">
        <w:rPr>
          <w:rFonts w:ascii="Times New Roman" w:eastAsiaTheme="minorHAnsi" w:hAnsi="Times New Roman"/>
          <w:sz w:val="24"/>
          <w:szCs w:val="24"/>
        </w:rPr>
        <w:t>1</w:t>
      </w:r>
      <w:r>
        <w:rPr>
          <w:rFonts w:ascii="Times New Roman" w:eastAsiaTheme="minorHAnsi" w:hAnsi="Times New Roman"/>
          <w:sz w:val="24"/>
          <w:szCs w:val="24"/>
        </w:rPr>
        <w:t> </w:t>
      </w:r>
      <w:r w:rsidRPr="00000F8B">
        <w:rPr>
          <w:rFonts w:ascii="Times New Roman" w:eastAsiaTheme="minorHAnsi" w:hAnsi="Times New Roman"/>
          <w:sz w:val="24"/>
          <w:szCs w:val="24"/>
        </w:rPr>
        <w:t>m² powierzchni użytkowej lokali z uwzględnieniem czynników podwyższających lub</w:t>
      </w:r>
      <w:r>
        <w:rPr>
          <w:rFonts w:ascii="Times New Roman" w:eastAsiaTheme="minorHAnsi" w:hAnsi="Times New Roman"/>
          <w:sz w:val="24"/>
          <w:szCs w:val="24"/>
        </w:rPr>
        <w:t> </w:t>
      </w:r>
      <w:r w:rsidRPr="00000F8B">
        <w:rPr>
          <w:rFonts w:ascii="Times New Roman" w:eastAsiaTheme="minorHAnsi" w:hAnsi="Times New Roman"/>
          <w:sz w:val="24"/>
          <w:szCs w:val="24"/>
        </w:rPr>
        <w:t>obniżających ich wartość użytkową. Tym samym możliwość podwyższania stawki bazowej</w:t>
      </w:r>
      <w:r>
        <w:rPr>
          <w:rFonts w:ascii="Times New Roman" w:eastAsiaTheme="minorHAnsi" w:hAnsi="Times New Roman"/>
          <w:sz w:val="24"/>
          <w:szCs w:val="24"/>
        </w:rPr>
        <w:t xml:space="preserve"> </w:t>
      </w:r>
      <w:r w:rsidRPr="00000F8B">
        <w:rPr>
          <w:rFonts w:ascii="Times New Roman" w:eastAsiaTheme="minorHAnsi" w:hAnsi="Times New Roman"/>
          <w:sz w:val="24"/>
          <w:szCs w:val="24"/>
        </w:rPr>
        <w:t>czynszu mieści się w zasadach polityki czynszowej gminy.</w:t>
      </w:r>
    </w:p>
    <w:p w:rsidR="009E6F9C" w:rsidRDefault="009E6F9C" w:rsidP="009E6F9C">
      <w:pPr>
        <w:suppressAutoHyphens w:val="0"/>
        <w:autoSpaceDE w:val="0"/>
        <w:adjustRightInd w:val="0"/>
        <w:spacing w:after="0" w:line="254" w:lineRule="auto"/>
        <w:ind w:firstLine="708"/>
        <w:jc w:val="both"/>
        <w:rPr>
          <w:rFonts w:ascii="Times New Roman" w:eastAsiaTheme="minorHAnsi" w:hAnsi="Times New Roman"/>
          <w:sz w:val="24"/>
          <w:szCs w:val="24"/>
        </w:rPr>
      </w:pPr>
      <w:r w:rsidRPr="00000F8B">
        <w:rPr>
          <w:rFonts w:ascii="Times New Roman" w:eastAsiaTheme="minorHAnsi" w:hAnsi="Times New Roman"/>
          <w:sz w:val="24"/>
          <w:szCs w:val="24"/>
        </w:rPr>
        <w:t xml:space="preserve">W piśmie </w:t>
      </w:r>
      <w:r w:rsidRPr="008342BE">
        <w:rPr>
          <w:rFonts w:ascii="Times New Roman" w:eastAsiaTheme="minorHAnsi" w:hAnsi="Times New Roman"/>
          <w:iCs/>
          <w:sz w:val="24"/>
          <w:szCs w:val="24"/>
        </w:rPr>
        <w:t>Łódzkiego Stowarzyszenia Lokatorów</w:t>
      </w:r>
      <w:r w:rsidRPr="00000F8B">
        <w:rPr>
          <w:rFonts w:ascii="Times New Roman" w:eastAsiaTheme="minorHAnsi" w:hAnsi="Times New Roman"/>
          <w:i/>
          <w:iCs/>
          <w:sz w:val="24"/>
          <w:szCs w:val="24"/>
        </w:rPr>
        <w:t xml:space="preserve"> </w:t>
      </w:r>
      <w:r w:rsidRPr="00000F8B">
        <w:rPr>
          <w:rFonts w:ascii="Times New Roman" w:eastAsiaTheme="minorHAnsi" w:hAnsi="Times New Roman"/>
          <w:sz w:val="24"/>
          <w:szCs w:val="24"/>
        </w:rPr>
        <w:t xml:space="preserve">wskazano również, że różnicowanie stawek czynszu w zależności od typu budynku „dom jednorodzinny”, „blok” jest arbitralne i  </w:t>
      </w:r>
      <w:r>
        <w:rPr>
          <w:rFonts w:ascii="Times New Roman" w:eastAsiaTheme="minorHAnsi" w:hAnsi="Times New Roman"/>
          <w:sz w:val="24"/>
          <w:szCs w:val="24"/>
        </w:rPr>
        <w:t> </w:t>
      </w:r>
      <w:r w:rsidRPr="00000F8B">
        <w:rPr>
          <w:rFonts w:ascii="Times New Roman" w:eastAsiaTheme="minorHAnsi" w:hAnsi="Times New Roman"/>
          <w:sz w:val="24"/>
          <w:szCs w:val="24"/>
        </w:rPr>
        <w:t xml:space="preserve">nieuzasadnione. Według </w:t>
      </w:r>
      <w:r w:rsidRPr="008342BE">
        <w:rPr>
          <w:rFonts w:ascii="Times New Roman" w:eastAsiaTheme="minorHAnsi" w:hAnsi="Times New Roman"/>
          <w:iCs/>
          <w:sz w:val="24"/>
          <w:szCs w:val="24"/>
        </w:rPr>
        <w:t>Stowarzyszenia</w:t>
      </w:r>
      <w:r w:rsidRPr="00000F8B">
        <w:rPr>
          <w:rFonts w:ascii="Times New Roman" w:eastAsiaTheme="minorHAnsi" w:hAnsi="Times New Roman"/>
          <w:i/>
          <w:iCs/>
          <w:sz w:val="24"/>
          <w:szCs w:val="24"/>
        </w:rPr>
        <w:t xml:space="preserve"> </w:t>
      </w:r>
      <w:r w:rsidRPr="00000F8B">
        <w:rPr>
          <w:rFonts w:ascii="Times New Roman" w:eastAsiaTheme="minorHAnsi" w:hAnsi="Times New Roman"/>
          <w:sz w:val="24"/>
          <w:szCs w:val="24"/>
        </w:rPr>
        <w:t>fakt, że budynek jest określonego typu nie musi mieć i bardzo często nie ma przełożenia na stan techniczny, czy standard mieszkaniowy</w:t>
      </w:r>
      <w:r>
        <w:rPr>
          <w:rFonts w:ascii="Times New Roman" w:eastAsiaTheme="minorHAnsi" w:hAnsi="Times New Roman"/>
          <w:sz w:val="24"/>
          <w:szCs w:val="24"/>
        </w:rPr>
        <w:t xml:space="preserve"> </w:t>
      </w:r>
      <w:r w:rsidRPr="00000F8B">
        <w:rPr>
          <w:rFonts w:ascii="Times New Roman" w:eastAsiaTheme="minorHAnsi" w:hAnsi="Times New Roman"/>
          <w:sz w:val="24"/>
          <w:szCs w:val="24"/>
        </w:rPr>
        <w:t>i</w:t>
      </w:r>
      <w:r>
        <w:rPr>
          <w:rFonts w:ascii="Times New Roman" w:eastAsiaTheme="minorHAnsi" w:hAnsi="Times New Roman"/>
          <w:sz w:val="24"/>
          <w:szCs w:val="24"/>
        </w:rPr>
        <w:t> </w:t>
      </w:r>
      <w:r w:rsidRPr="00000F8B">
        <w:rPr>
          <w:rFonts w:ascii="Times New Roman" w:eastAsiaTheme="minorHAnsi" w:hAnsi="Times New Roman"/>
          <w:sz w:val="24"/>
          <w:szCs w:val="24"/>
        </w:rPr>
        <w:t>wartość użytkową, a posiadanie windy nie stanowi samoistnej podstawy do podnoszenia czynszu, jeżeli w ostatnim czasie winda nie została wymieniona i nie dokonano modernizacji podnoszącej standard budynku.</w:t>
      </w:r>
    </w:p>
    <w:p w:rsidR="009E6F9C" w:rsidRPr="00000F8B" w:rsidRDefault="009E6F9C" w:rsidP="009E6F9C">
      <w:pPr>
        <w:suppressAutoHyphens w:val="0"/>
        <w:autoSpaceDE w:val="0"/>
        <w:adjustRightInd w:val="0"/>
        <w:spacing w:after="0" w:line="254" w:lineRule="auto"/>
        <w:ind w:firstLine="708"/>
        <w:jc w:val="both"/>
        <w:rPr>
          <w:rFonts w:ascii="Times New Roman" w:eastAsiaTheme="minorHAnsi" w:hAnsi="Times New Roman"/>
          <w:sz w:val="24"/>
          <w:szCs w:val="24"/>
        </w:rPr>
      </w:pPr>
      <w:r w:rsidRPr="00000F8B">
        <w:rPr>
          <w:rFonts w:ascii="Times New Roman" w:eastAsiaTheme="minorHAnsi" w:hAnsi="Times New Roman"/>
          <w:sz w:val="24"/>
          <w:szCs w:val="24"/>
        </w:rPr>
        <w:t>Wskazać należy, że art. 7 ust. 1 ww. ustawy określa czynniki, które mogą zostać zastosowane przy ustalaniu stawki czynszu najmu lokali mieszkalnych, zarówno podwyższające, jak i obniżające ich wartość użytkową, w szczególności w zakresie położenia budynku, położenia lokalu w budynku, wyposażenia budynku i lokalu w urządzenia techniczne i instalacje oraz ich</w:t>
      </w:r>
      <w:r>
        <w:rPr>
          <w:rFonts w:ascii="Times New Roman" w:eastAsiaTheme="minorHAnsi" w:hAnsi="Times New Roman"/>
          <w:sz w:val="24"/>
          <w:szCs w:val="24"/>
        </w:rPr>
        <w:t xml:space="preserve"> </w:t>
      </w:r>
      <w:r w:rsidRPr="00000F8B">
        <w:rPr>
          <w:rFonts w:ascii="Times New Roman" w:eastAsiaTheme="minorHAnsi" w:hAnsi="Times New Roman"/>
          <w:sz w:val="24"/>
          <w:szCs w:val="24"/>
        </w:rPr>
        <w:t xml:space="preserve">stanu, a także ogólnego stanu technicznego budynku. Użycie w przepisie sformułowania </w:t>
      </w:r>
      <w:r w:rsidRPr="008342BE">
        <w:rPr>
          <w:rFonts w:ascii="Times New Roman" w:eastAsiaTheme="minorHAnsi" w:hAnsi="Times New Roman"/>
          <w:bCs/>
          <w:sz w:val="24"/>
          <w:szCs w:val="24"/>
        </w:rPr>
        <w:t>„w szczególności”</w:t>
      </w:r>
      <w:r w:rsidRPr="00000F8B">
        <w:rPr>
          <w:rFonts w:ascii="Times New Roman" w:eastAsiaTheme="minorHAnsi" w:hAnsi="Times New Roman"/>
          <w:b/>
          <w:bCs/>
          <w:sz w:val="24"/>
          <w:szCs w:val="24"/>
        </w:rPr>
        <w:t xml:space="preserve"> </w:t>
      </w:r>
      <w:r w:rsidRPr="00000F8B">
        <w:rPr>
          <w:rFonts w:ascii="Times New Roman" w:eastAsiaTheme="minorHAnsi" w:hAnsi="Times New Roman"/>
          <w:sz w:val="24"/>
          <w:szCs w:val="24"/>
        </w:rPr>
        <w:t>oznacza, że wskazany katalog czynników ma charakter minimalny i nie wyczerpuje wszystkich możliwych rozwiązań, które mogą zostać wprowadzone przez gminę w ramach prowadzonej polityki czynszowej wobec lokali wchodzących w skład publicznego zasobu mieszkaniowego, przy ustalaniu stawki czynszu za</w:t>
      </w:r>
      <w:r>
        <w:rPr>
          <w:rFonts w:ascii="Times New Roman" w:eastAsiaTheme="minorHAnsi" w:hAnsi="Times New Roman"/>
          <w:sz w:val="24"/>
          <w:szCs w:val="24"/>
        </w:rPr>
        <w:t> </w:t>
      </w:r>
      <w:r w:rsidRPr="00000F8B">
        <w:rPr>
          <w:rFonts w:ascii="Times New Roman" w:eastAsiaTheme="minorHAnsi" w:hAnsi="Times New Roman"/>
          <w:sz w:val="24"/>
          <w:szCs w:val="24"/>
        </w:rPr>
        <w:t>1</w:t>
      </w:r>
      <w:r>
        <w:rPr>
          <w:rFonts w:ascii="Times New Roman" w:eastAsiaTheme="minorHAnsi" w:hAnsi="Times New Roman"/>
          <w:sz w:val="24"/>
          <w:szCs w:val="24"/>
        </w:rPr>
        <w:t> </w:t>
      </w:r>
      <w:r w:rsidRPr="00000F8B">
        <w:rPr>
          <w:rFonts w:ascii="Times New Roman" w:eastAsiaTheme="minorHAnsi" w:hAnsi="Times New Roman"/>
          <w:sz w:val="24"/>
          <w:szCs w:val="24"/>
        </w:rPr>
        <w:t>m² powierzchni użytkowej</w:t>
      </w:r>
      <w:r>
        <w:rPr>
          <w:rFonts w:ascii="Times New Roman" w:eastAsiaTheme="minorHAnsi" w:hAnsi="Times New Roman"/>
          <w:sz w:val="24"/>
          <w:szCs w:val="24"/>
        </w:rPr>
        <w:t xml:space="preserve"> </w:t>
      </w:r>
      <w:r w:rsidRPr="00000F8B">
        <w:rPr>
          <w:rFonts w:ascii="Times New Roman" w:eastAsiaTheme="minorHAnsi" w:hAnsi="Times New Roman"/>
          <w:sz w:val="24"/>
          <w:szCs w:val="24"/>
        </w:rPr>
        <w:t>lokali.</w:t>
      </w:r>
    </w:p>
    <w:p w:rsidR="009E6F9C" w:rsidRPr="006B5D36" w:rsidRDefault="009E6F9C" w:rsidP="009E6F9C">
      <w:pPr>
        <w:suppressAutoHyphens w:val="0"/>
        <w:autoSpaceDE w:val="0"/>
        <w:adjustRightInd w:val="0"/>
        <w:spacing w:after="0" w:line="254" w:lineRule="auto"/>
        <w:ind w:firstLine="567"/>
        <w:jc w:val="both"/>
        <w:rPr>
          <w:rFonts w:ascii="Times New Roman" w:eastAsiaTheme="minorHAnsi" w:hAnsi="Times New Roman"/>
          <w:sz w:val="24"/>
          <w:szCs w:val="24"/>
        </w:rPr>
      </w:pPr>
      <w:r w:rsidRPr="00000F8B">
        <w:rPr>
          <w:rFonts w:ascii="Times New Roman" w:eastAsiaTheme="minorHAnsi" w:hAnsi="Times New Roman"/>
          <w:sz w:val="24"/>
          <w:szCs w:val="24"/>
        </w:rPr>
        <w:t>W odniesieniu do lokali mieszkalnych usytuowanych w budynkach</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wyposażonych w</w:t>
      </w:r>
      <w:r>
        <w:rPr>
          <w:rFonts w:ascii="Times New Roman" w:eastAsiaTheme="minorHAnsi" w:hAnsi="Times New Roman"/>
          <w:sz w:val="24"/>
          <w:szCs w:val="24"/>
        </w:rPr>
        <w:t> </w:t>
      </w:r>
      <w:r w:rsidRPr="00000F8B">
        <w:rPr>
          <w:rFonts w:ascii="Times New Roman" w:eastAsiaTheme="minorHAnsi" w:hAnsi="Times New Roman"/>
          <w:sz w:val="24"/>
          <w:szCs w:val="24"/>
        </w:rPr>
        <w:t>windy, które zostały wskazane jako czynnik podwyższający</w:t>
      </w:r>
      <w:r>
        <w:rPr>
          <w:rFonts w:ascii="Times New Roman" w:eastAsiaTheme="minorHAnsi" w:hAnsi="Times New Roman"/>
          <w:sz w:val="24"/>
          <w:szCs w:val="24"/>
        </w:rPr>
        <w:t xml:space="preserve"> </w:t>
      </w:r>
      <w:r w:rsidRPr="00000F8B">
        <w:rPr>
          <w:rFonts w:ascii="Times New Roman" w:eastAsiaTheme="minorHAnsi" w:hAnsi="Times New Roman"/>
          <w:sz w:val="24"/>
          <w:szCs w:val="24"/>
        </w:rPr>
        <w:t>stawkę bazową czynszu w</w:t>
      </w:r>
      <w:r>
        <w:rPr>
          <w:rFonts w:ascii="Times New Roman" w:eastAsiaTheme="minorHAnsi" w:hAnsi="Times New Roman"/>
          <w:sz w:val="24"/>
          <w:szCs w:val="24"/>
        </w:rPr>
        <w:t> </w:t>
      </w:r>
      <w:r w:rsidRPr="00000F8B">
        <w:rPr>
          <w:rFonts w:ascii="Times New Roman" w:eastAsiaTheme="minorHAnsi" w:hAnsi="Times New Roman"/>
          <w:sz w:val="24"/>
          <w:szCs w:val="24"/>
        </w:rPr>
        <w:t>Wieloletnim programie gospodarowania</w:t>
      </w:r>
      <w:r>
        <w:rPr>
          <w:rFonts w:ascii="Times New Roman" w:eastAsiaTheme="minorHAnsi" w:hAnsi="Times New Roman"/>
          <w:sz w:val="24"/>
          <w:szCs w:val="24"/>
        </w:rPr>
        <w:t xml:space="preserve"> </w:t>
      </w:r>
      <w:r w:rsidRPr="00000F8B">
        <w:rPr>
          <w:rFonts w:ascii="Times New Roman" w:eastAsiaTheme="minorHAnsi" w:hAnsi="Times New Roman"/>
          <w:sz w:val="24"/>
          <w:szCs w:val="24"/>
        </w:rPr>
        <w:t>mieszkaniowym zasobem Miasta Łodzi na lata 2025–2030, należy zauważyć,</w:t>
      </w:r>
      <w:r>
        <w:rPr>
          <w:rFonts w:ascii="Times New Roman" w:eastAsiaTheme="minorHAnsi" w:hAnsi="Times New Roman"/>
          <w:sz w:val="24"/>
          <w:szCs w:val="24"/>
        </w:rPr>
        <w:t xml:space="preserve"> </w:t>
      </w:r>
      <w:r w:rsidRPr="00000F8B">
        <w:rPr>
          <w:rFonts w:ascii="Times New Roman" w:eastAsiaTheme="minorHAnsi" w:hAnsi="Times New Roman"/>
          <w:sz w:val="24"/>
          <w:szCs w:val="24"/>
        </w:rPr>
        <w:t>że art. 7 ust. 1 pkt 3 ww. ustawy przewiduje możliwość uwzględnienia</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wyposażenia budynków i lokali w urządzenia techniczne i instalacje oraz ich</w:t>
      </w:r>
      <w:r>
        <w:rPr>
          <w:rFonts w:ascii="Times New Roman" w:eastAsiaTheme="minorHAnsi" w:hAnsi="Times New Roman"/>
          <w:sz w:val="24"/>
          <w:szCs w:val="24"/>
        </w:rPr>
        <w:t xml:space="preserve"> </w:t>
      </w:r>
      <w:r w:rsidRPr="00000F8B">
        <w:rPr>
          <w:rFonts w:ascii="Times New Roman" w:eastAsiaTheme="minorHAnsi" w:hAnsi="Times New Roman"/>
          <w:sz w:val="24"/>
          <w:szCs w:val="24"/>
        </w:rPr>
        <w:t>stanu jako czynnika wpływającego na wysokość czynszu.</w:t>
      </w:r>
      <w:r>
        <w:rPr>
          <w:rFonts w:ascii="Times New Roman" w:eastAsiaTheme="minorHAnsi" w:hAnsi="Times New Roman"/>
          <w:sz w:val="24"/>
          <w:szCs w:val="24"/>
        </w:rPr>
        <w:t xml:space="preserve"> </w:t>
      </w:r>
      <w:r w:rsidRPr="00000F8B">
        <w:rPr>
          <w:rFonts w:ascii="Times New Roman" w:eastAsiaTheme="minorHAnsi" w:hAnsi="Times New Roman"/>
          <w:sz w:val="24"/>
          <w:szCs w:val="24"/>
        </w:rPr>
        <w:t>Dodać należy, że każda gmina ustala zasady polityki czynszowej</w:t>
      </w:r>
      <w:r>
        <w:rPr>
          <w:rFonts w:ascii="Times New Roman" w:eastAsiaTheme="minorHAnsi" w:hAnsi="Times New Roman"/>
          <w:sz w:val="24"/>
          <w:szCs w:val="24"/>
        </w:rPr>
        <w:t xml:space="preserve"> </w:t>
      </w:r>
      <w:r w:rsidRPr="00000F8B">
        <w:rPr>
          <w:rFonts w:ascii="Times New Roman" w:eastAsiaTheme="minorHAnsi" w:hAnsi="Times New Roman"/>
          <w:sz w:val="24"/>
          <w:szCs w:val="24"/>
        </w:rPr>
        <w:t>na podstawie art. 7 ustawy z dnia 21 czerwca 2001 r. o ochronie praw</w:t>
      </w:r>
      <w:r>
        <w:rPr>
          <w:rFonts w:ascii="Times New Roman" w:eastAsiaTheme="minorHAnsi" w:hAnsi="Times New Roman"/>
          <w:sz w:val="24"/>
          <w:szCs w:val="24"/>
        </w:rPr>
        <w:t xml:space="preserve"> </w:t>
      </w:r>
      <w:r w:rsidRPr="00000F8B">
        <w:rPr>
          <w:rFonts w:ascii="Times New Roman" w:eastAsiaTheme="minorHAnsi" w:hAnsi="Times New Roman"/>
          <w:sz w:val="24"/>
          <w:szCs w:val="24"/>
        </w:rPr>
        <w:t>lokatorów, mieszkaniowym zasobie gminy i zmianie Kodeksu cywilnego,</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 oparciu o</w:t>
      </w:r>
      <w:r>
        <w:rPr>
          <w:rFonts w:ascii="Times New Roman" w:eastAsiaTheme="minorHAnsi" w:hAnsi="Times New Roman"/>
          <w:sz w:val="24"/>
          <w:szCs w:val="24"/>
        </w:rPr>
        <w:t> </w:t>
      </w:r>
      <w:r w:rsidRPr="00000F8B">
        <w:rPr>
          <w:rFonts w:ascii="Times New Roman" w:eastAsiaTheme="minorHAnsi" w:hAnsi="Times New Roman"/>
          <w:sz w:val="24"/>
          <w:szCs w:val="24"/>
        </w:rPr>
        <w:t>wielkość oraz stan techniczny własnego zasobu mieszkaniowego.</w:t>
      </w:r>
      <w:r>
        <w:rPr>
          <w:rFonts w:ascii="Times New Roman" w:eastAsiaTheme="minorHAnsi" w:hAnsi="Times New Roman"/>
          <w:sz w:val="24"/>
          <w:szCs w:val="24"/>
        </w:rPr>
        <w:t xml:space="preserve"> </w:t>
      </w:r>
      <w:r w:rsidRPr="00000F8B">
        <w:rPr>
          <w:rFonts w:ascii="Times New Roman" w:eastAsiaTheme="minorHAnsi" w:hAnsi="Times New Roman"/>
          <w:sz w:val="24"/>
          <w:szCs w:val="24"/>
        </w:rPr>
        <w:t>Bloki, budynki wyposażone w windy, domy jednorodzinne, lokale</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 budynkach po remoncie generalnym lub</w:t>
      </w:r>
      <w:r>
        <w:rPr>
          <w:rFonts w:ascii="Times New Roman" w:eastAsiaTheme="minorHAnsi" w:hAnsi="Times New Roman"/>
          <w:sz w:val="24"/>
          <w:szCs w:val="24"/>
        </w:rPr>
        <w:t> </w:t>
      </w:r>
      <w:r w:rsidRPr="00000F8B">
        <w:rPr>
          <w:rFonts w:ascii="Times New Roman" w:eastAsiaTheme="minorHAnsi" w:hAnsi="Times New Roman"/>
          <w:sz w:val="24"/>
          <w:szCs w:val="24"/>
        </w:rPr>
        <w:t>zasobie nowym</w:t>
      </w:r>
      <w:r>
        <w:rPr>
          <w:rFonts w:ascii="Times New Roman" w:eastAsiaTheme="minorHAnsi" w:hAnsi="Times New Roman"/>
          <w:sz w:val="24"/>
          <w:szCs w:val="24"/>
        </w:rPr>
        <w:t xml:space="preserve"> </w:t>
      </w:r>
      <w:r w:rsidRPr="00000F8B">
        <w:rPr>
          <w:rFonts w:ascii="Times New Roman" w:eastAsiaTheme="minorHAnsi" w:hAnsi="Times New Roman"/>
          <w:sz w:val="24"/>
          <w:szCs w:val="24"/>
        </w:rPr>
        <w:t>i zrewitalizowanym zapewniają mieszkańcom lepsze warunki zamieszkiwania</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 odniesieniu do pozostałych lokali należących do mieszkaniowego zasobu</w:t>
      </w:r>
      <w:r>
        <w:rPr>
          <w:rFonts w:ascii="Times New Roman" w:eastAsiaTheme="minorHAnsi" w:hAnsi="Times New Roman"/>
          <w:sz w:val="24"/>
          <w:szCs w:val="24"/>
        </w:rPr>
        <w:t xml:space="preserve"> m</w:t>
      </w:r>
      <w:r w:rsidRPr="00000F8B">
        <w:rPr>
          <w:rFonts w:ascii="Times New Roman" w:eastAsiaTheme="minorHAnsi" w:hAnsi="Times New Roman"/>
          <w:sz w:val="24"/>
          <w:szCs w:val="24"/>
        </w:rPr>
        <w:t>iasta Łodzi. Przyjęte w Wieloletnim programie gospodarowania</w:t>
      </w:r>
      <w:r>
        <w:rPr>
          <w:rFonts w:ascii="Times New Roman" w:eastAsiaTheme="minorHAnsi" w:hAnsi="Times New Roman"/>
          <w:sz w:val="24"/>
          <w:szCs w:val="24"/>
        </w:rPr>
        <w:t xml:space="preserve"> </w:t>
      </w:r>
      <w:r w:rsidRPr="00000F8B">
        <w:rPr>
          <w:rFonts w:ascii="Times New Roman" w:eastAsiaTheme="minorHAnsi" w:hAnsi="Times New Roman"/>
          <w:sz w:val="24"/>
          <w:szCs w:val="24"/>
        </w:rPr>
        <w:t xml:space="preserve">mieszkaniowym zasobem </w:t>
      </w:r>
      <w:r>
        <w:rPr>
          <w:rFonts w:ascii="Times New Roman" w:eastAsiaTheme="minorHAnsi" w:hAnsi="Times New Roman"/>
          <w:sz w:val="24"/>
          <w:szCs w:val="24"/>
        </w:rPr>
        <w:t>m</w:t>
      </w:r>
      <w:r w:rsidRPr="00000F8B">
        <w:rPr>
          <w:rFonts w:ascii="Times New Roman" w:eastAsiaTheme="minorHAnsi" w:hAnsi="Times New Roman"/>
          <w:sz w:val="24"/>
          <w:szCs w:val="24"/>
        </w:rPr>
        <w:t>iasta Łodzi na lata 2025–2030 rozwiązania</w:t>
      </w:r>
      <w:r>
        <w:rPr>
          <w:rFonts w:ascii="Times New Roman" w:eastAsiaTheme="minorHAnsi" w:hAnsi="Times New Roman"/>
          <w:sz w:val="24"/>
          <w:szCs w:val="24"/>
        </w:rPr>
        <w:t xml:space="preserve"> </w:t>
      </w:r>
      <w:r w:rsidRPr="00000F8B">
        <w:rPr>
          <w:rFonts w:ascii="Times New Roman" w:eastAsiaTheme="minorHAnsi" w:hAnsi="Times New Roman"/>
          <w:sz w:val="24"/>
          <w:szCs w:val="24"/>
        </w:rPr>
        <w:t>uwzględniają zróżnicowanie standardu technicznego budynków</w:t>
      </w:r>
      <w:r>
        <w:rPr>
          <w:rFonts w:ascii="Times New Roman" w:eastAsiaTheme="minorHAnsi" w:hAnsi="Times New Roman"/>
          <w:sz w:val="24"/>
          <w:szCs w:val="24"/>
        </w:rPr>
        <w:t xml:space="preserve"> </w:t>
      </w:r>
      <w:r w:rsidRPr="00000F8B">
        <w:rPr>
          <w:rFonts w:ascii="Times New Roman" w:eastAsiaTheme="minorHAnsi" w:hAnsi="Times New Roman"/>
          <w:sz w:val="24"/>
          <w:szCs w:val="24"/>
        </w:rPr>
        <w:t>i lokali, w tym ich wyposażenie w urządzenia techniczne oraz instalacje.</w:t>
      </w:r>
      <w:r>
        <w:rPr>
          <w:rFonts w:ascii="Times New Roman" w:eastAsiaTheme="minorHAnsi" w:hAnsi="Times New Roman"/>
          <w:sz w:val="24"/>
          <w:szCs w:val="24"/>
        </w:rPr>
        <w:t xml:space="preserve"> </w:t>
      </w:r>
      <w:r w:rsidRPr="00000F8B">
        <w:rPr>
          <w:rFonts w:ascii="Times New Roman" w:eastAsiaTheme="minorHAnsi" w:hAnsi="Times New Roman"/>
          <w:sz w:val="24"/>
          <w:szCs w:val="24"/>
        </w:rPr>
        <w:t>Program zakłada racjonalne różnicowanie stawek czynszu w zależności</w:t>
      </w:r>
      <w:r>
        <w:rPr>
          <w:rFonts w:ascii="Times New Roman" w:eastAsiaTheme="minorHAnsi" w:hAnsi="Times New Roman"/>
          <w:sz w:val="24"/>
          <w:szCs w:val="24"/>
        </w:rPr>
        <w:t xml:space="preserve"> </w:t>
      </w:r>
      <w:r w:rsidRPr="00000F8B">
        <w:rPr>
          <w:rFonts w:ascii="Times New Roman" w:eastAsiaTheme="minorHAnsi" w:hAnsi="Times New Roman"/>
          <w:sz w:val="24"/>
          <w:szCs w:val="24"/>
        </w:rPr>
        <w:t>od jakości i funkcjonalności lokali, co pozostaje w bezpośrednim związku</w:t>
      </w:r>
      <w:r>
        <w:rPr>
          <w:rFonts w:ascii="Times New Roman" w:eastAsiaTheme="minorHAnsi" w:hAnsi="Times New Roman"/>
          <w:sz w:val="24"/>
          <w:szCs w:val="24"/>
        </w:rPr>
        <w:t xml:space="preserve"> </w:t>
      </w:r>
      <w:r w:rsidRPr="00000F8B">
        <w:rPr>
          <w:rFonts w:ascii="Times New Roman" w:eastAsiaTheme="minorHAnsi" w:hAnsi="Times New Roman"/>
          <w:sz w:val="24"/>
          <w:szCs w:val="24"/>
        </w:rPr>
        <w:t>z poprawą warunków mieszkaniowych najemców oraz koniecznością</w:t>
      </w:r>
      <w:r>
        <w:rPr>
          <w:rFonts w:ascii="Times New Roman" w:eastAsiaTheme="minorHAnsi" w:hAnsi="Times New Roman"/>
          <w:sz w:val="24"/>
          <w:szCs w:val="24"/>
        </w:rPr>
        <w:t xml:space="preserve"> </w:t>
      </w:r>
      <w:r w:rsidRPr="00000F8B">
        <w:rPr>
          <w:rFonts w:ascii="Times New Roman" w:eastAsiaTheme="minorHAnsi" w:hAnsi="Times New Roman"/>
          <w:sz w:val="24"/>
          <w:szCs w:val="24"/>
        </w:rPr>
        <w:t>zapewnienia środków na bieżące utrzymanie i</w:t>
      </w:r>
      <w:r>
        <w:rPr>
          <w:rFonts w:ascii="Times New Roman" w:eastAsiaTheme="minorHAnsi" w:hAnsi="Times New Roman"/>
          <w:sz w:val="24"/>
          <w:szCs w:val="24"/>
        </w:rPr>
        <w:t> </w:t>
      </w:r>
      <w:r w:rsidRPr="00000F8B">
        <w:rPr>
          <w:rFonts w:ascii="Times New Roman" w:eastAsiaTheme="minorHAnsi" w:hAnsi="Times New Roman"/>
          <w:sz w:val="24"/>
          <w:szCs w:val="24"/>
        </w:rPr>
        <w:t>modernizację mieszkaniowego</w:t>
      </w:r>
      <w:r>
        <w:rPr>
          <w:rFonts w:ascii="Times New Roman" w:eastAsiaTheme="minorHAnsi" w:hAnsi="Times New Roman"/>
          <w:sz w:val="24"/>
          <w:szCs w:val="24"/>
        </w:rPr>
        <w:t xml:space="preserve"> </w:t>
      </w:r>
      <w:r w:rsidRPr="00000F8B">
        <w:rPr>
          <w:rFonts w:ascii="Times New Roman" w:eastAsiaTheme="minorHAnsi" w:hAnsi="Times New Roman"/>
          <w:sz w:val="24"/>
          <w:szCs w:val="24"/>
        </w:rPr>
        <w:t>zasobu gminy.</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Według Łódzkiego Stowarzyszenia Lokatorów wzrost czynszu o 20%</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wyłącznie z tytułu położenia lokalu w zasobie zrewitalizowanym nie m</w:t>
      </w:r>
      <w:r>
        <w:rPr>
          <w:rFonts w:ascii="Times New Roman" w:eastAsiaTheme="minorHAnsi" w:hAnsi="Times New Roman"/>
          <w:sz w:val="24"/>
          <w:szCs w:val="24"/>
        </w:rPr>
        <w:t xml:space="preserve">a </w:t>
      </w:r>
      <w:r w:rsidRPr="00000F8B">
        <w:rPr>
          <w:rFonts w:ascii="Times New Roman" w:eastAsiaTheme="minorHAnsi" w:hAnsi="Times New Roman"/>
          <w:sz w:val="24"/>
          <w:szCs w:val="24"/>
        </w:rPr>
        <w:t>podstawy w ustawie z dnia 9 października 2015 r. o rewitalizacji oraz</w:t>
      </w:r>
      <w:r>
        <w:rPr>
          <w:rFonts w:ascii="Times New Roman" w:eastAsiaTheme="minorHAnsi" w:hAnsi="Times New Roman"/>
          <w:sz w:val="24"/>
          <w:szCs w:val="24"/>
        </w:rPr>
        <w:t xml:space="preserve"> </w:t>
      </w:r>
      <w:r w:rsidRPr="00000F8B">
        <w:rPr>
          <w:rFonts w:ascii="Times New Roman" w:eastAsiaTheme="minorHAnsi" w:hAnsi="Times New Roman"/>
          <w:sz w:val="24"/>
          <w:szCs w:val="24"/>
        </w:rPr>
        <w:t>w ustawie z dnia 21</w:t>
      </w:r>
      <w:r>
        <w:rPr>
          <w:rFonts w:ascii="Times New Roman" w:eastAsiaTheme="minorHAnsi" w:hAnsi="Times New Roman"/>
          <w:sz w:val="24"/>
          <w:szCs w:val="24"/>
        </w:rPr>
        <w:t> </w:t>
      </w:r>
      <w:r w:rsidRPr="00000F8B">
        <w:rPr>
          <w:rFonts w:ascii="Times New Roman" w:eastAsiaTheme="minorHAnsi" w:hAnsi="Times New Roman"/>
          <w:sz w:val="24"/>
          <w:szCs w:val="24"/>
        </w:rPr>
        <w:t xml:space="preserve">czerwca 2001 r. o ochronie praw </w:t>
      </w:r>
      <w:r w:rsidRPr="006B5D36">
        <w:rPr>
          <w:rFonts w:ascii="Times New Roman" w:eastAsiaTheme="minorHAnsi" w:hAnsi="Times New Roman"/>
          <w:sz w:val="24"/>
          <w:szCs w:val="24"/>
        </w:rPr>
        <w:t>lokatorów, mieszkaniowym zasobie gminy i zmianie Kodeksu cywilnego. Rewitalizacja w założeniu ma poprawić warunki życia mieszkańców, a</w:t>
      </w:r>
      <w:r>
        <w:rPr>
          <w:rFonts w:ascii="Times New Roman" w:eastAsiaTheme="minorHAnsi" w:hAnsi="Times New Roman"/>
          <w:sz w:val="24"/>
          <w:szCs w:val="24"/>
        </w:rPr>
        <w:t> </w:t>
      </w:r>
      <w:r w:rsidRPr="006B5D36">
        <w:rPr>
          <w:rFonts w:ascii="Times New Roman" w:eastAsiaTheme="minorHAnsi" w:hAnsi="Times New Roman"/>
          <w:sz w:val="24"/>
          <w:szCs w:val="24"/>
        </w:rPr>
        <w:t>nie</w:t>
      </w:r>
      <w:r>
        <w:rPr>
          <w:rFonts w:ascii="Times New Roman" w:eastAsiaTheme="minorHAnsi" w:hAnsi="Times New Roman"/>
          <w:sz w:val="24"/>
          <w:szCs w:val="24"/>
        </w:rPr>
        <w:t> </w:t>
      </w:r>
      <w:r w:rsidRPr="006B5D36">
        <w:rPr>
          <w:rFonts w:ascii="Times New Roman" w:eastAsiaTheme="minorHAnsi" w:hAnsi="Times New Roman"/>
          <w:sz w:val="24"/>
          <w:szCs w:val="24"/>
        </w:rPr>
        <w:t>podnosić koszty</w:t>
      </w:r>
      <w:r>
        <w:rPr>
          <w:rFonts w:ascii="Times New Roman" w:eastAsiaTheme="minorHAnsi" w:hAnsi="Times New Roman"/>
          <w:sz w:val="24"/>
          <w:szCs w:val="24"/>
        </w:rPr>
        <w:t xml:space="preserve"> </w:t>
      </w:r>
      <w:r w:rsidRPr="006B5D36">
        <w:rPr>
          <w:rFonts w:ascii="Times New Roman" w:eastAsiaTheme="minorHAnsi" w:hAnsi="Times New Roman"/>
          <w:sz w:val="24"/>
          <w:szCs w:val="24"/>
        </w:rPr>
        <w:t xml:space="preserve">mieszkania ponad możliwości finansowe. </w:t>
      </w:r>
      <w:r w:rsidRPr="008342BE">
        <w:rPr>
          <w:rFonts w:ascii="Times New Roman" w:eastAsiaTheme="minorHAnsi" w:hAnsi="Times New Roman"/>
          <w:iCs/>
          <w:sz w:val="24"/>
          <w:szCs w:val="24"/>
        </w:rPr>
        <w:t>Stowarzyszenie</w:t>
      </w:r>
      <w:r w:rsidRPr="006B5D36">
        <w:rPr>
          <w:rFonts w:ascii="Times New Roman" w:eastAsiaTheme="minorHAnsi" w:hAnsi="Times New Roman"/>
          <w:i/>
          <w:iCs/>
          <w:sz w:val="24"/>
          <w:szCs w:val="24"/>
        </w:rPr>
        <w:t xml:space="preserve"> </w:t>
      </w:r>
      <w:r w:rsidRPr="006B5D36">
        <w:rPr>
          <w:rFonts w:ascii="Times New Roman" w:eastAsiaTheme="minorHAnsi" w:hAnsi="Times New Roman"/>
          <w:sz w:val="24"/>
          <w:szCs w:val="24"/>
        </w:rPr>
        <w:t>wskazuje,</w:t>
      </w:r>
      <w:r>
        <w:rPr>
          <w:rFonts w:ascii="Times New Roman" w:eastAsiaTheme="minorHAnsi" w:hAnsi="Times New Roman"/>
          <w:sz w:val="24"/>
          <w:szCs w:val="24"/>
        </w:rPr>
        <w:t xml:space="preserve"> </w:t>
      </w:r>
      <w:r w:rsidRPr="006B5D36">
        <w:rPr>
          <w:rFonts w:ascii="Times New Roman" w:eastAsiaTheme="minorHAnsi" w:hAnsi="Times New Roman"/>
          <w:sz w:val="24"/>
          <w:szCs w:val="24"/>
        </w:rPr>
        <w:t>że</w:t>
      </w:r>
      <w:r>
        <w:rPr>
          <w:rFonts w:ascii="Times New Roman" w:eastAsiaTheme="minorHAnsi" w:hAnsi="Times New Roman"/>
          <w:sz w:val="24"/>
          <w:szCs w:val="24"/>
        </w:rPr>
        <w:t> </w:t>
      </w:r>
      <w:r w:rsidRPr="006B5D36">
        <w:rPr>
          <w:rFonts w:ascii="Times New Roman" w:eastAsiaTheme="minorHAnsi" w:hAnsi="Times New Roman"/>
          <w:sz w:val="24"/>
          <w:szCs w:val="24"/>
        </w:rPr>
        <w:t>wprowadzona regulacja prowadzi do pogorszenia sytuacji ekonomicznej</w:t>
      </w:r>
      <w:r>
        <w:rPr>
          <w:rFonts w:ascii="Times New Roman" w:eastAsiaTheme="minorHAnsi" w:hAnsi="Times New Roman"/>
          <w:sz w:val="24"/>
          <w:szCs w:val="24"/>
        </w:rPr>
        <w:t xml:space="preserve"> </w:t>
      </w:r>
      <w:r w:rsidRPr="006B5D36">
        <w:rPr>
          <w:rFonts w:ascii="Times New Roman" w:eastAsiaTheme="minorHAnsi" w:hAnsi="Times New Roman"/>
          <w:sz w:val="24"/>
          <w:szCs w:val="24"/>
        </w:rPr>
        <w:t>najemców i sprzyja wykluczeniu mieszkańców obszaru rewitalizacji</w:t>
      </w:r>
      <w:r>
        <w:rPr>
          <w:rFonts w:ascii="Times New Roman" w:eastAsiaTheme="minorHAnsi" w:hAnsi="Times New Roman"/>
          <w:sz w:val="24"/>
          <w:szCs w:val="24"/>
        </w:rPr>
        <w:t xml:space="preserve"> </w:t>
      </w:r>
      <w:r w:rsidRPr="006B5D36">
        <w:rPr>
          <w:rFonts w:ascii="Times New Roman" w:eastAsiaTheme="minorHAnsi" w:hAnsi="Times New Roman"/>
          <w:sz w:val="24"/>
          <w:szCs w:val="24"/>
        </w:rPr>
        <w:t>z możliwości korzystania z pozytywnych efektów procesu rewitalizacji.</w:t>
      </w:r>
      <w:r>
        <w:rPr>
          <w:rFonts w:ascii="Times New Roman" w:eastAsiaTheme="minorHAnsi" w:hAnsi="Times New Roman"/>
          <w:sz w:val="24"/>
          <w:szCs w:val="24"/>
        </w:rPr>
        <w:t xml:space="preserve"> </w:t>
      </w:r>
      <w:r w:rsidRPr="006B5D36">
        <w:rPr>
          <w:rFonts w:ascii="Times New Roman" w:eastAsiaTheme="minorHAnsi" w:hAnsi="Times New Roman"/>
          <w:sz w:val="24"/>
          <w:szCs w:val="24"/>
        </w:rPr>
        <w:t>Jednocześnie w piśmie tym wskazano na stan techniczny zrewitalizowanych</w:t>
      </w:r>
      <w:r>
        <w:rPr>
          <w:rFonts w:ascii="Times New Roman" w:eastAsiaTheme="minorHAnsi" w:hAnsi="Times New Roman"/>
          <w:sz w:val="24"/>
          <w:szCs w:val="24"/>
        </w:rPr>
        <w:t xml:space="preserve"> </w:t>
      </w:r>
      <w:r w:rsidRPr="006B5D36">
        <w:rPr>
          <w:rFonts w:ascii="Times New Roman" w:eastAsiaTheme="minorHAnsi" w:hAnsi="Times New Roman"/>
          <w:sz w:val="24"/>
          <w:szCs w:val="24"/>
        </w:rPr>
        <w:t>budynków, w których występują usterki tj. zawilgocenia czy problem</w:t>
      </w:r>
      <w:r>
        <w:rPr>
          <w:rFonts w:ascii="Times New Roman" w:eastAsiaTheme="minorHAnsi" w:hAnsi="Times New Roman"/>
          <w:sz w:val="24"/>
          <w:szCs w:val="24"/>
        </w:rPr>
        <w:t xml:space="preserve"> </w:t>
      </w:r>
      <w:r w:rsidRPr="006B5D36">
        <w:rPr>
          <w:rFonts w:ascii="Times New Roman" w:eastAsiaTheme="minorHAnsi" w:hAnsi="Times New Roman"/>
          <w:sz w:val="24"/>
          <w:szCs w:val="24"/>
        </w:rPr>
        <w:t>z</w:t>
      </w:r>
      <w:r>
        <w:rPr>
          <w:rFonts w:ascii="Times New Roman" w:eastAsiaTheme="minorHAnsi" w:hAnsi="Times New Roman"/>
          <w:sz w:val="24"/>
          <w:szCs w:val="24"/>
        </w:rPr>
        <w:t> </w:t>
      </w:r>
      <w:r w:rsidRPr="006B5D36">
        <w:rPr>
          <w:rFonts w:ascii="Times New Roman" w:eastAsiaTheme="minorHAnsi" w:hAnsi="Times New Roman"/>
          <w:sz w:val="24"/>
          <w:szCs w:val="24"/>
        </w:rPr>
        <w:t>wentylacją. Dodatkowo części</w:t>
      </w:r>
      <w:r>
        <w:rPr>
          <w:rFonts w:ascii="Times New Roman" w:eastAsiaTheme="minorHAnsi" w:hAnsi="Times New Roman"/>
          <w:sz w:val="24"/>
          <w:szCs w:val="24"/>
        </w:rPr>
        <w:t xml:space="preserve"> </w:t>
      </w:r>
      <w:r w:rsidRPr="006B5D36">
        <w:rPr>
          <w:rFonts w:ascii="Times New Roman" w:eastAsiaTheme="minorHAnsi" w:hAnsi="Times New Roman"/>
          <w:sz w:val="24"/>
          <w:szCs w:val="24"/>
        </w:rPr>
        <w:t>mieszkańcom zasobu zrewitalizowanego</w:t>
      </w:r>
      <w:r>
        <w:rPr>
          <w:rFonts w:ascii="Times New Roman" w:eastAsiaTheme="minorHAnsi" w:hAnsi="Times New Roman"/>
          <w:sz w:val="24"/>
          <w:szCs w:val="24"/>
        </w:rPr>
        <w:t xml:space="preserve"> </w:t>
      </w:r>
      <w:r w:rsidRPr="006B5D36">
        <w:rPr>
          <w:rFonts w:ascii="Times New Roman" w:eastAsiaTheme="minorHAnsi" w:hAnsi="Times New Roman"/>
          <w:sz w:val="24"/>
          <w:szCs w:val="24"/>
        </w:rPr>
        <w:t>przyznano lokale zamienne z tytułu</w:t>
      </w:r>
      <w:r>
        <w:rPr>
          <w:rFonts w:ascii="Times New Roman" w:eastAsiaTheme="minorHAnsi" w:hAnsi="Times New Roman"/>
          <w:sz w:val="24"/>
          <w:szCs w:val="24"/>
        </w:rPr>
        <w:t xml:space="preserve"> </w:t>
      </w:r>
      <w:r w:rsidRPr="006B5D36">
        <w:rPr>
          <w:rFonts w:ascii="Times New Roman" w:eastAsiaTheme="minorHAnsi" w:hAnsi="Times New Roman"/>
          <w:sz w:val="24"/>
          <w:szCs w:val="24"/>
        </w:rPr>
        <w:t>wykwaterowania z budynków</w:t>
      </w:r>
      <w:r>
        <w:rPr>
          <w:rFonts w:ascii="Times New Roman" w:eastAsiaTheme="minorHAnsi" w:hAnsi="Times New Roman"/>
          <w:sz w:val="24"/>
          <w:szCs w:val="24"/>
        </w:rPr>
        <w:t xml:space="preserve"> </w:t>
      </w:r>
      <w:r w:rsidRPr="006B5D36">
        <w:rPr>
          <w:rFonts w:ascii="Times New Roman" w:eastAsiaTheme="minorHAnsi" w:hAnsi="Times New Roman"/>
          <w:sz w:val="24"/>
          <w:szCs w:val="24"/>
        </w:rPr>
        <w:t>wyłączonych z użytkowania, którzy nie byli weryfikowani dochodowo. Według</w:t>
      </w:r>
      <w:r>
        <w:rPr>
          <w:rFonts w:ascii="Times New Roman" w:eastAsiaTheme="minorHAnsi" w:hAnsi="Times New Roman"/>
          <w:sz w:val="24"/>
          <w:szCs w:val="24"/>
        </w:rPr>
        <w:t xml:space="preserve"> </w:t>
      </w:r>
      <w:r w:rsidRPr="008342BE">
        <w:rPr>
          <w:rFonts w:ascii="Times New Roman" w:eastAsiaTheme="minorHAnsi" w:hAnsi="Times New Roman"/>
          <w:iCs/>
          <w:sz w:val="24"/>
          <w:szCs w:val="24"/>
        </w:rPr>
        <w:t>Stowarzyszenia</w:t>
      </w:r>
      <w:r w:rsidRPr="006B5D36">
        <w:rPr>
          <w:rFonts w:ascii="Times New Roman" w:eastAsiaTheme="minorHAnsi" w:hAnsi="Times New Roman"/>
          <w:i/>
          <w:iCs/>
          <w:sz w:val="24"/>
          <w:szCs w:val="24"/>
        </w:rPr>
        <w:t xml:space="preserve"> </w:t>
      </w:r>
      <w:r w:rsidRPr="006B5D36">
        <w:rPr>
          <w:rFonts w:ascii="Times New Roman" w:eastAsiaTheme="minorHAnsi" w:hAnsi="Times New Roman"/>
          <w:sz w:val="24"/>
          <w:szCs w:val="24"/>
        </w:rPr>
        <w:t>osoby te nie posiadają dochodu, który zabezpieczyłby</w:t>
      </w:r>
      <w:r>
        <w:rPr>
          <w:rFonts w:ascii="Times New Roman" w:eastAsiaTheme="minorHAnsi" w:hAnsi="Times New Roman"/>
          <w:sz w:val="24"/>
          <w:szCs w:val="24"/>
        </w:rPr>
        <w:t xml:space="preserve"> </w:t>
      </w:r>
      <w:r w:rsidRPr="006B5D36">
        <w:rPr>
          <w:rFonts w:ascii="Times New Roman" w:eastAsiaTheme="minorHAnsi" w:hAnsi="Times New Roman"/>
          <w:sz w:val="24"/>
          <w:szCs w:val="24"/>
        </w:rPr>
        <w:t>możliwość opłacania czynszu wraz z czynnikami podwyższającymi bez</w:t>
      </w:r>
      <w:r>
        <w:rPr>
          <w:rFonts w:ascii="Times New Roman" w:eastAsiaTheme="minorHAnsi" w:hAnsi="Times New Roman"/>
          <w:sz w:val="24"/>
          <w:szCs w:val="24"/>
        </w:rPr>
        <w:t> </w:t>
      </w:r>
      <w:r w:rsidRPr="006B5D36">
        <w:rPr>
          <w:rFonts w:ascii="Times New Roman" w:eastAsiaTheme="minorHAnsi" w:hAnsi="Times New Roman"/>
          <w:sz w:val="24"/>
          <w:szCs w:val="24"/>
        </w:rPr>
        <w:t>uszczerbku na normalnym funkcjonowaniu.</w:t>
      </w:r>
      <w:r>
        <w:rPr>
          <w:rFonts w:ascii="Times New Roman" w:eastAsiaTheme="minorHAnsi" w:hAnsi="Times New Roman"/>
          <w:sz w:val="24"/>
          <w:szCs w:val="24"/>
        </w:rPr>
        <w:t xml:space="preserve"> </w:t>
      </w:r>
      <w:r w:rsidRPr="006B5D36">
        <w:rPr>
          <w:rFonts w:ascii="Times New Roman" w:eastAsiaTheme="minorHAnsi" w:hAnsi="Times New Roman"/>
          <w:sz w:val="24"/>
          <w:szCs w:val="24"/>
        </w:rPr>
        <w:t>Wyjaśnić należy, że zgodnie z art. 7 ust. 1 pkt 1 ustawy z dnia</w:t>
      </w:r>
      <w:r>
        <w:rPr>
          <w:rFonts w:ascii="Times New Roman" w:eastAsiaTheme="minorHAnsi" w:hAnsi="Times New Roman"/>
          <w:sz w:val="24"/>
          <w:szCs w:val="24"/>
        </w:rPr>
        <w:t xml:space="preserve"> </w:t>
      </w:r>
      <w:r w:rsidRPr="006B5D36">
        <w:rPr>
          <w:rFonts w:ascii="Times New Roman" w:eastAsiaTheme="minorHAnsi" w:hAnsi="Times New Roman"/>
          <w:sz w:val="24"/>
          <w:szCs w:val="24"/>
        </w:rPr>
        <w:t>21 czerwca 2001 r. o</w:t>
      </w:r>
      <w:r>
        <w:rPr>
          <w:rFonts w:ascii="Times New Roman" w:eastAsiaTheme="minorHAnsi" w:hAnsi="Times New Roman"/>
          <w:sz w:val="24"/>
          <w:szCs w:val="24"/>
        </w:rPr>
        <w:t> </w:t>
      </w:r>
      <w:r w:rsidRPr="006B5D36">
        <w:rPr>
          <w:rFonts w:ascii="Times New Roman" w:eastAsiaTheme="minorHAnsi" w:hAnsi="Times New Roman"/>
          <w:sz w:val="24"/>
          <w:szCs w:val="24"/>
        </w:rPr>
        <w:t>ochronie praw lokatorów, mieszkaniowym zasobie gminy</w:t>
      </w:r>
      <w:r>
        <w:rPr>
          <w:rFonts w:ascii="Times New Roman" w:eastAsiaTheme="minorHAnsi" w:hAnsi="Times New Roman"/>
          <w:sz w:val="24"/>
          <w:szCs w:val="24"/>
        </w:rPr>
        <w:t xml:space="preserve"> </w:t>
      </w:r>
      <w:r w:rsidRPr="006B5D36">
        <w:rPr>
          <w:rFonts w:ascii="Times New Roman" w:eastAsiaTheme="minorHAnsi" w:hAnsi="Times New Roman"/>
          <w:sz w:val="24"/>
          <w:szCs w:val="24"/>
        </w:rPr>
        <w:t>i zmianie Kodeksu cywilnego, właściciel ustala stawki czynszu,</w:t>
      </w:r>
      <w:r>
        <w:rPr>
          <w:rFonts w:ascii="Times New Roman" w:eastAsiaTheme="minorHAnsi" w:hAnsi="Times New Roman"/>
          <w:sz w:val="24"/>
          <w:szCs w:val="24"/>
        </w:rPr>
        <w:t xml:space="preserve"> </w:t>
      </w:r>
      <w:r w:rsidRPr="006B5D36">
        <w:rPr>
          <w:rFonts w:ascii="Times New Roman" w:eastAsiaTheme="minorHAnsi" w:hAnsi="Times New Roman"/>
          <w:sz w:val="24"/>
          <w:szCs w:val="24"/>
        </w:rPr>
        <w:t>z uwzględnieniem czynników podwyższających lub obniżających ich wartość</w:t>
      </w:r>
      <w:r>
        <w:rPr>
          <w:rFonts w:ascii="Times New Roman" w:eastAsiaTheme="minorHAnsi" w:hAnsi="Times New Roman"/>
          <w:sz w:val="24"/>
          <w:szCs w:val="24"/>
        </w:rPr>
        <w:t xml:space="preserve"> </w:t>
      </w:r>
      <w:r w:rsidRPr="006B5D36">
        <w:rPr>
          <w:rFonts w:ascii="Times New Roman" w:eastAsiaTheme="minorHAnsi" w:hAnsi="Times New Roman"/>
          <w:sz w:val="24"/>
          <w:szCs w:val="24"/>
        </w:rPr>
        <w:t>użytkową, a w szczególności „położenia budynku”. Budynki położone</w:t>
      </w:r>
      <w:r>
        <w:rPr>
          <w:rFonts w:ascii="Times New Roman" w:eastAsiaTheme="minorHAnsi" w:hAnsi="Times New Roman"/>
          <w:sz w:val="24"/>
          <w:szCs w:val="24"/>
        </w:rPr>
        <w:t xml:space="preserve"> </w:t>
      </w:r>
      <w:r w:rsidRPr="006B5D36">
        <w:rPr>
          <w:rFonts w:ascii="Times New Roman" w:eastAsiaTheme="minorHAnsi" w:hAnsi="Times New Roman"/>
          <w:sz w:val="24"/>
          <w:szCs w:val="24"/>
        </w:rPr>
        <w:t>w strefie zrewitalizowanej są po generalnych remontach, w</w:t>
      </w:r>
      <w:r>
        <w:rPr>
          <w:rFonts w:ascii="Times New Roman" w:eastAsiaTheme="minorHAnsi" w:hAnsi="Times New Roman"/>
          <w:sz w:val="24"/>
          <w:szCs w:val="24"/>
        </w:rPr>
        <w:t> </w:t>
      </w:r>
      <w:r w:rsidRPr="006B5D36">
        <w:rPr>
          <w:rFonts w:ascii="Times New Roman" w:eastAsiaTheme="minorHAnsi" w:hAnsi="Times New Roman"/>
          <w:sz w:val="24"/>
          <w:szCs w:val="24"/>
        </w:rPr>
        <w:t>odróżnieniu</w:t>
      </w:r>
      <w:r>
        <w:rPr>
          <w:rFonts w:ascii="Times New Roman" w:eastAsiaTheme="minorHAnsi" w:hAnsi="Times New Roman"/>
          <w:sz w:val="24"/>
          <w:szCs w:val="24"/>
        </w:rPr>
        <w:t xml:space="preserve"> </w:t>
      </w:r>
      <w:r w:rsidRPr="006B5D36">
        <w:rPr>
          <w:rFonts w:ascii="Times New Roman" w:eastAsiaTheme="minorHAnsi" w:hAnsi="Times New Roman"/>
          <w:sz w:val="24"/>
          <w:szCs w:val="24"/>
        </w:rPr>
        <w:t>od pozostałego zasobu, lokale w tych budynkach są o wyższym standardzie.</w:t>
      </w:r>
      <w:r>
        <w:rPr>
          <w:rFonts w:ascii="Times New Roman" w:eastAsiaTheme="minorHAnsi" w:hAnsi="Times New Roman"/>
          <w:sz w:val="24"/>
          <w:szCs w:val="24"/>
        </w:rPr>
        <w:t xml:space="preserve"> </w:t>
      </w:r>
      <w:r w:rsidRPr="006B5D36">
        <w:rPr>
          <w:rFonts w:ascii="Times New Roman" w:eastAsiaTheme="minorHAnsi" w:hAnsi="Times New Roman"/>
          <w:sz w:val="24"/>
          <w:szCs w:val="24"/>
        </w:rPr>
        <w:t>Zdarzające się usterki techniczne usuwane są w odrębnych procedurach i nie</w:t>
      </w:r>
      <w:r>
        <w:rPr>
          <w:rFonts w:ascii="Times New Roman" w:eastAsiaTheme="minorHAnsi" w:hAnsi="Times New Roman"/>
          <w:sz w:val="24"/>
          <w:szCs w:val="24"/>
        </w:rPr>
        <w:t xml:space="preserve"> </w:t>
      </w:r>
      <w:r w:rsidRPr="006B5D36">
        <w:rPr>
          <w:rFonts w:ascii="Times New Roman" w:eastAsiaTheme="minorHAnsi" w:hAnsi="Times New Roman"/>
          <w:sz w:val="24"/>
          <w:szCs w:val="24"/>
        </w:rPr>
        <w:t>mogą być podstawą do negatywnej oceny stanu technicznego całego</w:t>
      </w:r>
      <w:r>
        <w:rPr>
          <w:rFonts w:ascii="Times New Roman" w:eastAsiaTheme="minorHAnsi" w:hAnsi="Times New Roman"/>
          <w:sz w:val="24"/>
          <w:szCs w:val="24"/>
        </w:rPr>
        <w:t xml:space="preserve"> </w:t>
      </w:r>
      <w:r w:rsidRPr="006B5D36">
        <w:rPr>
          <w:rFonts w:ascii="Times New Roman" w:eastAsiaTheme="minorHAnsi" w:hAnsi="Times New Roman"/>
          <w:sz w:val="24"/>
          <w:szCs w:val="24"/>
        </w:rPr>
        <w:t>zrewitalizowanego zasobu.</w:t>
      </w:r>
      <w:r>
        <w:rPr>
          <w:rFonts w:ascii="Times New Roman" w:eastAsiaTheme="minorHAnsi" w:hAnsi="Times New Roman"/>
          <w:sz w:val="24"/>
          <w:szCs w:val="24"/>
        </w:rPr>
        <w:t xml:space="preserve"> </w:t>
      </w:r>
      <w:r w:rsidRPr="006B5D36">
        <w:rPr>
          <w:rFonts w:ascii="Times New Roman" w:eastAsiaTheme="minorHAnsi" w:hAnsi="Times New Roman"/>
          <w:sz w:val="24"/>
          <w:szCs w:val="24"/>
        </w:rPr>
        <w:t>Dodać należy, że stawka bazowa czynszu najmu, wraz z czynnikiem podwyższającym o 20% dla lokali mieszkalnych usytuowanych w zasobie nowym i zrewitalizowanym nie przekracza 3% wartości odtworzeniowej lokalu i dlatego na podstawie art. 8a ust. 4 ww. ustawy Miasto nie ma obowiązku przedstawienia przyczyn podwyżki i jej kalkulacji.</w:t>
      </w:r>
    </w:p>
    <w:p w:rsidR="009E6F9C" w:rsidRDefault="009E6F9C" w:rsidP="009E6F9C">
      <w:pPr>
        <w:suppressAutoHyphens w:val="0"/>
        <w:autoSpaceDE w:val="0"/>
        <w:adjustRightInd w:val="0"/>
        <w:spacing w:after="0" w:line="254" w:lineRule="auto"/>
        <w:ind w:firstLine="567"/>
        <w:jc w:val="both"/>
        <w:rPr>
          <w:rFonts w:ascii="Times New Roman" w:eastAsiaTheme="minorHAnsi" w:hAnsi="Times New Roman"/>
          <w:sz w:val="24"/>
          <w:szCs w:val="24"/>
        </w:rPr>
      </w:pPr>
      <w:r w:rsidRPr="006B5D36">
        <w:rPr>
          <w:rFonts w:ascii="Times New Roman" w:eastAsiaTheme="minorHAnsi" w:hAnsi="Times New Roman"/>
          <w:sz w:val="24"/>
          <w:szCs w:val="24"/>
        </w:rPr>
        <w:t xml:space="preserve">Najemcy lokali mieszkalnych wchodzących w skład mieszkaniowego zasobu </w:t>
      </w:r>
      <w:r>
        <w:rPr>
          <w:rFonts w:ascii="Times New Roman" w:eastAsiaTheme="minorHAnsi" w:hAnsi="Times New Roman"/>
          <w:sz w:val="24"/>
          <w:szCs w:val="24"/>
        </w:rPr>
        <w:t>m</w:t>
      </w:r>
      <w:r w:rsidRPr="006B5D36">
        <w:rPr>
          <w:rFonts w:ascii="Times New Roman" w:eastAsiaTheme="minorHAnsi" w:hAnsi="Times New Roman"/>
          <w:sz w:val="24"/>
          <w:szCs w:val="24"/>
        </w:rPr>
        <w:t>iasta Łodzi, posiadający niskie dochody, mogą korzystać z różnych form wsparcia, które wynikają zarówno z przepisów prawa powszechnie obowiązującego np. dodatki mieszkaniowe, jak i prawa miejscowego m.in. obniżki czynszu, odpracowanie zadłużenia, zamiana lokalu, rozłożenie należności na raty, a w szczególnych przypadkach umorzenie należności.</w:t>
      </w:r>
    </w:p>
    <w:p w:rsidR="009E6F9C" w:rsidRDefault="009E6F9C" w:rsidP="009E6F9C">
      <w:pPr>
        <w:suppressAutoHyphens w:val="0"/>
        <w:autoSpaceDE w:val="0"/>
        <w:adjustRightInd w:val="0"/>
        <w:spacing w:after="0" w:line="254" w:lineRule="auto"/>
        <w:ind w:firstLine="567"/>
        <w:jc w:val="both"/>
        <w:rPr>
          <w:rFonts w:ascii="Times New Roman" w:eastAsiaTheme="minorHAnsi" w:hAnsi="Times New Roman"/>
          <w:sz w:val="24"/>
          <w:szCs w:val="24"/>
        </w:rPr>
      </w:pPr>
      <w:r w:rsidRPr="006B5D36">
        <w:rPr>
          <w:rFonts w:ascii="Times New Roman" w:eastAsiaTheme="minorHAnsi" w:hAnsi="Times New Roman"/>
          <w:sz w:val="24"/>
          <w:szCs w:val="24"/>
        </w:rPr>
        <w:t xml:space="preserve">W ramach zaplanowanych działań </w:t>
      </w:r>
      <w:r>
        <w:rPr>
          <w:rFonts w:ascii="Times New Roman" w:eastAsiaTheme="minorHAnsi" w:hAnsi="Times New Roman"/>
          <w:sz w:val="24"/>
          <w:szCs w:val="24"/>
        </w:rPr>
        <w:t>m</w:t>
      </w:r>
      <w:r w:rsidRPr="006B5D36">
        <w:rPr>
          <w:rFonts w:ascii="Times New Roman" w:eastAsiaTheme="minorHAnsi" w:hAnsi="Times New Roman"/>
          <w:sz w:val="24"/>
          <w:szCs w:val="24"/>
        </w:rPr>
        <w:t>iasto Łódź, dostosowując wielkość zasobu mieszkaniowego do potrzeb społeczności lokalnej, dąży do wymiany tej części zasobu, która ze względu na zły stan techniczny nie nadaje się do zamieszkiwania. Działania te pozwolą zarówno na zmniejszenie ogólnej liczby lokali pozostających w zasobie Miasta, jak i na zwiększenie liczby lokali o wyższym standardzie. Zakłada się, że wpływy pochodzące z</w:t>
      </w:r>
      <w:r>
        <w:rPr>
          <w:rFonts w:ascii="Times New Roman" w:eastAsiaTheme="minorHAnsi" w:hAnsi="Times New Roman"/>
          <w:sz w:val="24"/>
          <w:szCs w:val="24"/>
        </w:rPr>
        <w:t> </w:t>
      </w:r>
      <w:r w:rsidRPr="006B5D36">
        <w:rPr>
          <w:rFonts w:ascii="Times New Roman" w:eastAsiaTheme="minorHAnsi" w:hAnsi="Times New Roman"/>
          <w:sz w:val="24"/>
          <w:szCs w:val="24"/>
        </w:rPr>
        <w:t>czynszów powinny pokrywać docelowo koszty utrzymania mieszkaniowego zasobu Miasta Łodzi oraz koszty jego niezbędnych remontów.</w:t>
      </w:r>
    </w:p>
    <w:p w:rsidR="009E6F9C" w:rsidRPr="006B5D36" w:rsidRDefault="009E6F9C" w:rsidP="009E6F9C">
      <w:pPr>
        <w:suppressAutoHyphens w:val="0"/>
        <w:autoSpaceDE w:val="0"/>
        <w:adjustRightInd w:val="0"/>
        <w:spacing w:after="0" w:line="254" w:lineRule="auto"/>
        <w:ind w:firstLine="567"/>
        <w:jc w:val="both"/>
        <w:rPr>
          <w:rFonts w:ascii="Times New Roman" w:eastAsiaTheme="minorHAnsi" w:hAnsi="Times New Roman"/>
          <w:sz w:val="24"/>
          <w:szCs w:val="24"/>
        </w:rPr>
      </w:pPr>
      <w:r>
        <w:rPr>
          <w:rFonts w:ascii="Times New Roman" w:eastAsiaTheme="minorHAnsi" w:hAnsi="Times New Roman"/>
          <w:sz w:val="24"/>
          <w:szCs w:val="24"/>
        </w:rPr>
        <w:t>W</w:t>
      </w:r>
      <w:r w:rsidRPr="006B5D36">
        <w:rPr>
          <w:rFonts w:ascii="Times New Roman" w:eastAsiaTheme="minorHAnsi" w:hAnsi="Times New Roman"/>
          <w:sz w:val="24"/>
          <w:szCs w:val="24"/>
        </w:rPr>
        <w:t>prowadzenie czynników podwyższających stawkę bazow</w:t>
      </w:r>
      <w:r>
        <w:rPr>
          <w:rFonts w:ascii="Times New Roman" w:eastAsiaTheme="minorHAnsi" w:hAnsi="Times New Roman"/>
          <w:sz w:val="24"/>
          <w:szCs w:val="24"/>
        </w:rPr>
        <w:t>ą</w:t>
      </w:r>
      <w:r w:rsidRPr="006B5D36">
        <w:rPr>
          <w:rFonts w:ascii="Times New Roman" w:eastAsiaTheme="minorHAnsi" w:hAnsi="Times New Roman"/>
          <w:sz w:val="24"/>
          <w:szCs w:val="24"/>
        </w:rPr>
        <w:t xml:space="preserve"> czynszu najmu wskazanych w § 8 załącznika do uchwały Nr XX/560/25 Rady Miejskiej w Łodzi z dnia 3 września 2025 r. w sprawie przyjęcia Wieloletniego programu gospodarowania mieszkaniowym zasobem Miasta Łodzi na lata 2025-2030, jest zgodne z obowiązującymi przepisami prawa, w związku z czym nie ma podstaw do jego uchylenia. Ponadto należy</w:t>
      </w:r>
      <w:r>
        <w:rPr>
          <w:rFonts w:ascii="Times New Roman" w:eastAsiaTheme="minorHAnsi" w:hAnsi="Times New Roman"/>
          <w:sz w:val="24"/>
          <w:szCs w:val="24"/>
        </w:rPr>
        <w:t xml:space="preserve"> </w:t>
      </w:r>
      <w:r w:rsidRPr="006B5D36">
        <w:rPr>
          <w:rFonts w:ascii="Times New Roman" w:eastAsiaTheme="minorHAnsi" w:hAnsi="Times New Roman"/>
          <w:sz w:val="24"/>
          <w:szCs w:val="24"/>
        </w:rPr>
        <w:t>zaznaczyć, że Wojewoda Łódzki w ramach kontroli nadzorczej nie zakwestionował zgodności z prawem wprowadzenia czynników podwyższających stawkę bazową czynszu najmu lokali mieszkalnych, wymienionych w ww. programie.</w:t>
      </w:r>
    </w:p>
    <w:p w:rsidR="009E6F9C" w:rsidRDefault="009E6F9C" w:rsidP="009E6F9C">
      <w:pPr>
        <w:shd w:val="clear" w:color="auto" w:fill="FFFFFF"/>
        <w:spacing w:after="0" w:line="254" w:lineRule="auto"/>
        <w:jc w:val="both"/>
        <w:rPr>
          <w:rFonts w:ascii="Times New Roman" w:eastAsia="Calibri" w:hAnsi="Times New Roman"/>
          <w:sz w:val="24"/>
          <w:szCs w:val="24"/>
          <w:lang w:eastAsia="ar-SA"/>
        </w:rPr>
      </w:pPr>
    </w:p>
    <w:p w:rsidR="009E6F9C" w:rsidRDefault="009E6F9C" w:rsidP="009E6F9C">
      <w:pPr>
        <w:shd w:val="clear" w:color="auto" w:fill="FFFFFF"/>
        <w:spacing w:after="0" w:line="254" w:lineRule="auto"/>
        <w:ind w:left="142" w:firstLine="398"/>
        <w:jc w:val="both"/>
        <w:rPr>
          <w:rFonts w:ascii="Times New Roman" w:hAnsi="Times New Roman"/>
          <w:sz w:val="24"/>
          <w:szCs w:val="24"/>
        </w:rPr>
      </w:pPr>
      <w:r>
        <w:rPr>
          <w:rFonts w:ascii="Times New Roman" w:eastAsia="Calibri" w:hAnsi="Times New Roman"/>
          <w:sz w:val="24"/>
          <w:szCs w:val="24"/>
          <w:lang w:eastAsia="ar-SA"/>
        </w:rPr>
        <w:t xml:space="preserve">Wobec </w:t>
      </w:r>
      <w:r>
        <w:rPr>
          <w:rFonts w:ascii="Times New Roman" w:hAnsi="Times New Roman"/>
          <w:sz w:val="24"/>
          <w:szCs w:val="24"/>
          <w:lang w:eastAsia="pl-PL" w:bidi="mr-IN"/>
        </w:rPr>
        <w:t>powyższego Rada Miejska w Łodzi uznaje wniosek za bezzasadny.</w:t>
      </w:r>
    </w:p>
    <w:p w:rsidR="009E6F9C" w:rsidRDefault="009E6F9C" w:rsidP="009E6F9C">
      <w:pPr>
        <w:shd w:val="clear" w:color="auto" w:fill="FFFFFF"/>
        <w:spacing w:after="0" w:line="254" w:lineRule="auto"/>
        <w:jc w:val="both"/>
        <w:rPr>
          <w:rFonts w:ascii="Times New Roman" w:hAnsi="Times New Roman"/>
          <w:sz w:val="24"/>
          <w:szCs w:val="24"/>
          <w:lang w:eastAsia="pl-PL" w:bidi="mr-IN"/>
        </w:rPr>
      </w:pPr>
    </w:p>
    <w:p w:rsidR="009E6F9C" w:rsidRPr="00677C90" w:rsidRDefault="009E6F9C" w:rsidP="009E6F9C">
      <w:pPr>
        <w:spacing w:after="0" w:line="254" w:lineRule="auto"/>
        <w:ind w:firstLine="540"/>
        <w:jc w:val="both"/>
        <w:rPr>
          <w:rFonts w:ascii="Times New Roman" w:hAnsi="Times New Roman"/>
          <w:sz w:val="24"/>
          <w:szCs w:val="24"/>
          <w:lang w:val="ar-SA" w:eastAsia="ar-SA"/>
        </w:rPr>
      </w:pPr>
      <w:r w:rsidRPr="00677C90">
        <w:rPr>
          <w:rFonts w:ascii="Times New Roman" w:hAnsi="Times New Roman"/>
          <w:sz w:val="24"/>
          <w:szCs w:val="24"/>
          <w:lang w:val="ar-SA" w:eastAsia="ar-SA"/>
        </w:rPr>
        <w:t>Rada Miejska w Łodzi informuje, że niniejsza uchwała stanowi zawiadomienie o sposobie załatwienia wniosku w rozumieniu art. 244 § 2 Kodeksu postępowania administracyjnego, od</w:t>
      </w:r>
      <w:r>
        <w:rPr>
          <w:rFonts w:ascii="Times New Roman" w:hAnsi="Times New Roman" w:hint="cs"/>
          <w:sz w:val="24"/>
          <w:szCs w:val="24"/>
          <w:lang w:val="ar-SA" w:eastAsia="ar-SA"/>
        </w:rPr>
        <w:t> </w:t>
      </w:r>
      <w:r w:rsidRPr="00677C90">
        <w:rPr>
          <w:rFonts w:ascii="Times New Roman" w:hAnsi="Times New Roman"/>
          <w:sz w:val="24"/>
          <w:szCs w:val="24"/>
          <w:lang w:val="ar-SA" w:eastAsia="ar-SA"/>
        </w:rPr>
        <w:t xml:space="preserve">którego nie przysługuje żaden środek odwoławczy ani środek zaskarżenia. </w:t>
      </w:r>
    </w:p>
    <w:p w:rsidR="009E6F9C" w:rsidRPr="00677C90" w:rsidRDefault="009E6F9C" w:rsidP="009E6F9C">
      <w:pPr>
        <w:spacing w:after="0" w:line="254" w:lineRule="auto"/>
        <w:rPr>
          <w:rFonts w:ascii="Times New Roman" w:hAnsi="Times New Roman"/>
          <w:sz w:val="24"/>
          <w:szCs w:val="24"/>
          <w:lang w:val="ar-SA" w:eastAsia="ar-SA"/>
        </w:rPr>
      </w:pPr>
    </w:p>
    <w:p w:rsidR="009E6F9C" w:rsidRDefault="009E6F9C" w:rsidP="009E6F9C">
      <w:pPr>
        <w:spacing w:after="0" w:line="254" w:lineRule="auto"/>
        <w:ind w:firstLine="540"/>
        <w:jc w:val="both"/>
      </w:pPr>
      <w:r w:rsidRPr="00677C90">
        <w:rPr>
          <w:rFonts w:ascii="Times New Roman" w:hAnsi="Times New Roman"/>
          <w:sz w:val="24"/>
          <w:szCs w:val="24"/>
          <w:lang w:val="ar-SA" w:eastAsia="ar-SA"/>
        </w:rPr>
        <w:t>Stosownie do art. 246 § 1 Kodeksu postępowania administracyjnego, Rada Miejska w</w:t>
      </w:r>
      <w:r>
        <w:rPr>
          <w:rFonts w:ascii="Times New Roman" w:hAnsi="Times New Roman" w:hint="cs"/>
          <w:sz w:val="24"/>
          <w:szCs w:val="24"/>
          <w:lang w:val="ar-SA" w:eastAsia="ar-SA"/>
        </w:rPr>
        <w:t> </w:t>
      </w:r>
      <w:r w:rsidRPr="00677C90">
        <w:rPr>
          <w:rFonts w:ascii="Times New Roman" w:hAnsi="Times New Roman"/>
          <w:sz w:val="24"/>
          <w:szCs w:val="24"/>
          <w:lang w:val="ar-SA" w:eastAsia="ar-SA"/>
        </w:rPr>
        <w:t>Łodzi informuje, że „Wnioskodawcy niezadowolonemu ze sposobu załatwienia wniosku służy prawo wniesienia skargi w trybie określonym w rozdziale 2 niniejszego działu”.</w:t>
      </w:r>
    </w:p>
    <w:p w:rsidR="00B13424" w:rsidRDefault="007D1B61"/>
    <w:sectPr w:rsidR="00B13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9C"/>
    <w:rsid w:val="001A7B09"/>
    <w:rsid w:val="004F1C40"/>
    <w:rsid w:val="00776C89"/>
    <w:rsid w:val="007D1B61"/>
    <w:rsid w:val="009E6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D6A3C-EDE5-4FA1-90D2-6BE6CD8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6F9C"/>
    <w:pPr>
      <w:suppressAutoHyphens/>
      <w:autoSpaceDN w:val="0"/>
      <w:spacing w:line="240"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E6F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9915</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Urzad Miasta Lodzi</Company>
  <LinksUpToDate>false</LinksUpToDate>
  <CharactersWithSpaces>11544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Łuczak</dc:creator>
  <cp:keywords/>
  <dc:description/>
  <cp:lastModifiedBy>Violetta Gandziarska</cp:lastModifiedBy>
  <cp:revision>2</cp:revision>
  <dcterms:created xsi:type="dcterms:W3CDTF">2026-02-18T10:25:00Z</dcterms:created>
  <dcterms:modified xsi:type="dcterms:W3CDTF">2026-02-18T10:25:00Z</dcterms:modified>
</cp:coreProperties>
</file>